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72"/>
          <w:szCs w:val="72"/>
          <w:highlight w:val="white"/>
        </w:rPr>
      </w:pPr>
      <w:r>
        <w:rPr>
          <w:rFonts w:hint="eastAsia" w:ascii="仿宋" w:hAnsi="仿宋" w:eastAsia="仿宋" w:cs="仿宋"/>
          <w:b/>
          <w:bCs/>
          <w:sz w:val="72"/>
          <w:szCs w:val="72"/>
          <w:highlight w:val="white"/>
        </w:rPr>
        <w:t xml:space="preserve">竞争性磋商文件</w:t>
      </w:r>
      <w:r/>
    </w:p>
    <w:p>
      <w:pPr>
        <w:pStyle w:val="1013"/>
        <w:ind w:firstLine="0"/>
        <w:jc w:val="center"/>
        <w:spacing w:before="0" w:after="0" w:line="240" w:lineRule="auto"/>
        <w:rPr>
          <w:rFonts w:hint="eastAsia" w:ascii="仿宋" w:hAnsi="仿宋" w:eastAsia="仿宋" w:cs="仿宋"/>
          <w:b/>
          <w:bCs/>
          <w:sz w:val="72"/>
          <w:szCs w:val="72"/>
          <w:highlight w:val="white"/>
        </w:rPr>
      </w:pPr>
      <w:r>
        <w:rPr>
          <w:rFonts w:hint="eastAsia" w:ascii="仿宋" w:hAnsi="仿宋" w:eastAsia="仿宋" w:cs="仿宋"/>
          <w:b/>
          <w:bCs/>
          <w:sz w:val="72"/>
          <w:szCs w:val="72"/>
          <w:highlight w:val="white"/>
        </w:rPr>
        <w:t xml:space="preserve">（服务类）</w:t>
      </w:r>
      <w:r/>
    </w:p>
    <w:p>
      <w:pPr>
        <w:ind w:firstLine="1606"/>
        <w:jc w:val="left"/>
        <w:spacing w:before="120" w:after="120" w:line="360" w:lineRule="auto"/>
        <w:rPr>
          <w:rFonts w:hint="eastAsia" w:ascii="仿宋" w:hAnsi="仿宋" w:eastAsia="仿宋" w:cs="仿宋"/>
          <w:b/>
          <w:bCs/>
          <w:sz w:val="72"/>
          <w:szCs w:val="72"/>
          <w:highlight w:val="white"/>
        </w:rPr>
      </w:pPr>
      <w:r>
        <w:rPr>
          <w:rFonts w:hint="eastAsia" w:ascii="仿宋" w:hAnsi="仿宋" w:eastAsia="仿宋" w:cs="仿宋"/>
          <w:b/>
          <w:bCs/>
          <w:sz w:val="72"/>
          <w:szCs w:val="72"/>
          <w:highlight w:val="white"/>
        </w:rPr>
      </w:r>
      <w:r/>
    </w:p>
    <w:p>
      <w:pPr>
        <w:ind w:firstLine="1606"/>
        <w:spacing w:before="120" w:after="120" w:line="360" w:lineRule="auto"/>
        <w:rPr>
          <w:rFonts w:hint="eastAsia" w:ascii="仿宋" w:hAnsi="仿宋" w:eastAsia="仿宋" w:cs="仿宋"/>
          <w:b/>
          <w:bCs/>
          <w:sz w:val="40"/>
          <w:szCs w:val="40"/>
        </w:rPr>
      </w:pPr>
      <w:r>
        <w:rPr>
          <w:rFonts w:hint="eastAsia" w:ascii="仿宋" w:hAnsi="仿宋" w:eastAsia="仿宋" w:cs="仿宋"/>
          <w:b/>
          <w:bCs/>
          <w:sz w:val="40"/>
          <w:szCs w:val="40"/>
          <w:highlight w:val="white"/>
        </w:rPr>
        <w:t xml:space="preserve">项目名称：</w:t>
      </w:r>
      <w:r>
        <w:rPr>
          <w:rFonts w:hint="eastAsia" w:ascii="仿宋" w:hAnsi="仿宋" w:eastAsia="仿宋" w:cs="仿宋"/>
          <w:b/>
          <w:bCs/>
          <w:sz w:val="36"/>
          <w:szCs w:val="36"/>
        </w:rPr>
        <w:t xml:space="preserve">2025-2026年浦口区白蚁防治服务项目</w:t>
      </w:r>
      <w:r/>
    </w:p>
    <w:p>
      <w:pPr>
        <w:ind w:firstLine="1606"/>
        <w:spacing w:before="120" w:after="120" w:line="360" w:lineRule="auto"/>
        <w:rPr>
          <w:rFonts w:hint="eastAsia" w:ascii="仿宋" w:hAnsi="仿宋" w:eastAsia="仿宋" w:cs="仿宋"/>
          <w:b/>
          <w:bCs/>
          <w:sz w:val="40"/>
          <w:szCs w:val="40"/>
        </w:rPr>
      </w:pPr>
      <w:r>
        <w:rPr>
          <w:rFonts w:hint="eastAsia" w:ascii="仿宋" w:hAnsi="仿宋" w:eastAsia="仿宋" w:cs="仿宋"/>
          <w:b/>
          <w:bCs/>
          <w:sz w:val="40"/>
          <w:szCs w:val="40"/>
          <w:highlight w:val="white"/>
        </w:rPr>
        <w:t xml:space="preserve">项目编号</w:t>
      </w:r>
      <w:r>
        <w:rPr>
          <w:rFonts w:hint="eastAsia" w:ascii="仿宋" w:hAnsi="仿宋" w:eastAsia="仿宋" w:cs="仿宋"/>
          <w:b/>
          <w:bCs/>
          <w:sz w:val="40"/>
          <w:szCs w:val="40"/>
        </w:rPr>
        <w:t xml:space="preserve">：</w:t>
      </w:r>
      <w:r>
        <w:rPr>
          <w:rFonts w:ascii="仿宋" w:hAnsi="仿宋" w:eastAsia="仿宋" w:cs="仿宋"/>
          <w:b/>
          <w:bCs/>
          <w:sz w:val="40"/>
          <w:szCs w:val="40"/>
        </w:rPr>
        <w:t xml:space="preserve">JSZC-320111-WSJD-C2025-0007</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widowControl/>
        <w:rPr>
          <w:rFonts w:hint="eastAsia" w:ascii="仿宋" w:hAnsi="仿宋" w:eastAsia="仿宋" w:cs="仿宋"/>
          <w:b/>
          <w:bCs/>
          <w:sz w:val="44"/>
          <w:szCs w:val="44"/>
          <w:highlight w:val="white"/>
        </w:rPr>
      </w:pPr>
      <w:r>
        <w:rPr>
          <w:rFonts w:hint="eastAsia" w:ascii="仿宋" w:hAnsi="仿宋" w:eastAsia="仿宋" w:cs="仿宋"/>
          <w:b/>
          <w:bCs/>
          <w:sz w:val="44"/>
          <w:szCs w:val="44"/>
          <w:highlight w:val="white"/>
        </w:rPr>
      </w:r>
      <w:r/>
    </w:p>
    <w:p>
      <w:pPr>
        <w:jc w:val="left"/>
        <w:widowControl/>
        <w:rPr>
          <w:rFonts w:hint="eastAsia" w:ascii="仿宋" w:hAnsi="仿宋" w:eastAsia="仿宋" w:cs="仿宋"/>
          <w:b/>
          <w:bCs/>
          <w:sz w:val="40"/>
          <w:szCs w:val="40"/>
        </w:rPr>
      </w:pPr>
      <w:r>
        <w:rPr>
          <w:rFonts w:hint="eastAsia" w:ascii="仿宋" w:hAnsi="仿宋" w:eastAsia="仿宋" w:cs="仿宋"/>
          <w:b/>
          <w:bCs/>
          <w:sz w:val="40"/>
          <w:szCs w:val="40"/>
          <w:highlight w:val="white"/>
        </w:rPr>
        <w:t xml:space="preserve">采购单位：</w:t>
      </w:r>
      <w:r>
        <w:rPr>
          <w:rFonts w:hint="eastAsia" w:ascii="仿宋" w:hAnsi="仿宋" w:eastAsia="仿宋" w:cs="仿宋"/>
          <w:b/>
          <w:bCs/>
          <w:sz w:val="40"/>
          <w:szCs w:val="40"/>
          <w:lang w:bidi="ar"/>
        </w:rPr>
        <w:t xml:space="preserve">南京市浦口区滁河河道管理所</w:t>
      </w:r>
      <w:r/>
    </w:p>
    <w:p>
      <w:pPr>
        <w:ind w:firstLine="723"/>
        <w:spacing w:line="360" w:lineRule="auto"/>
        <w:tabs>
          <w:tab w:val="left" w:pos="390" w:leader="none"/>
          <w:tab w:val="center" w:pos="4404" w:leader="none"/>
        </w:tabs>
        <w:rPr>
          <w:rFonts w:hint="eastAsia" w:ascii="仿宋" w:hAnsi="仿宋" w:eastAsia="仿宋" w:cs="仿宋"/>
          <w:b/>
          <w:bCs/>
          <w:sz w:val="40"/>
          <w:szCs w:val="40"/>
          <w:highlight w:val="white"/>
        </w:rPr>
      </w:pPr>
      <w:r>
        <w:rPr>
          <w:rFonts w:hint="eastAsia" w:ascii="仿宋" w:hAnsi="仿宋" w:eastAsia="仿宋" w:cs="仿宋"/>
          <w:b/>
          <w:bCs/>
          <w:sz w:val="40"/>
          <w:szCs w:val="40"/>
          <w:highlight w:val="white"/>
        </w:rPr>
      </w:r>
      <w:r/>
    </w:p>
    <w:p>
      <w:pPr>
        <w:spacing w:line="360" w:lineRule="auto"/>
        <w:tabs>
          <w:tab w:val="left" w:pos="390" w:leader="none"/>
          <w:tab w:val="center" w:pos="4404" w:leader="none"/>
        </w:tabs>
        <w:rPr>
          <w:rFonts w:hint="eastAsia" w:ascii="仿宋" w:hAnsi="仿宋" w:eastAsia="仿宋" w:cs="仿宋"/>
          <w:b/>
          <w:bCs/>
          <w:sz w:val="40"/>
          <w:szCs w:val="40"/>
          <w:highlight w:val="white"/>
        </w:rPr>
      </w:pPr>
      <w:r/>
      <w:bookmarkStart w:id="0" w:name="_Toc1368"/>
      <w:r/>
      <w:bookmarkStart w:id="1" w:name="_Toc15538"/>
      <w:r>
        <w:rPr>
          <w:rFonts w:hint="eastAsia" w:ascii="仿宋" w:hAnsi="仿宋" w:eastAsia="仿宋" w:cs="仿宋"/>
          <w:b/>
          <w:bCs/>
          <w:sz w:val="40"/>
          <w:szCs w:val="40"/>
          <w:highlight w:val="white"/>
        </w:rPr>
        <w:t xml:space="preserve">采购代理机构：</w:t>
      </w:r>
      <w:bookmarkEnd w:id="0"/>
      <w:r/>
      <w:bookmarkEnd w:id="1"/>
      <w:r>
        <w:rPr>
          <w:rFonts w:hint="eastAsia" w:ascii="仿宋" w:hAnsi="仿宋" w:eastAsia="仿宋" w:cs="仿宋"/>
          <w:b/>
          <w:bCs/>
          <w:sz w:val="40"/>
          <w:szCs w:val="40"/>
          <w:highlight w:val="white"/>
        </w:rPr>
        <w:t xml:space="preserve">南京文思捷建设项目管理有限公司</w:t>
      </w:r>
      <w:r/>
    </w:p>
    <w:p>
      <w:pPr>
        <w:jc w:val="center"/>
        <w:spacing w:line="360" w:lineRule="auto"/>
        <w:tabs>
          <w:tab w:val="left" w:pos="390" w:leader="none"/>
          <w:tab w:val="center" w:pos="4404" w:leader="none"/>
        </w:tabs>
        <w:rPr>
          <w:rFonts w:hint="eastAsia" w:ascii="仿宋" w:hAnsi="仿宋" w:eastAsia="仿宋" w:cs="仿宋"/>
          <w:b/>
          <w:bCs/>
          <w:sz w:val="44"/>
          <w:szCs w:val="44"/>
          <w:highlight w:val="white"/>
        </w:rPr>
      </w:pPr>
      <w:r>
        <w:rPr>
          <w:rFonts w:hint="eastAsia" w:ascii="仿宋" w:hAnsi="仿宋" w:eastAsia="仿宋" w:cs="仿宋"/>
          <w:b/>
          <w:bCs/>
          <w:sz w:val="44"/>
          <w:szCs w:val="44"/>
          <w:highlight w:val="white"/>
        </w:rPr>
      </w:r>
      <w:r/>
    </w:p>
    <w:p>
      <w:pPr>
        <w:jc w:val="center"/>
        <w:spacing w:line="360" w:lineRule="auto"/>
        <w:tabs>
          <w:tab w:val="left" w:pos="390" w:leader="none"/>
          <w:tab w:val="center" w:pos="4404" w:leader="none"/>
        </w:tabs>
        <w:rPr>
          <w:rFonts w:hint="eastAsia" w:ascii="仿宋" w:hAnsi="仿宋" w:eastAsia="仿宋" w:cs="仿宋"/>
          <w:b/>
          <w:bCs/>
          <w:sz w:val="44"/>
          <w:szCs w:val="44"/>
          <w:highlight w:val="white"/>
        </w:rPr>
      </w:pPr>
      <w:r>
        <w:rPr>
          <w:rFonts w:hint="eastAsia" w:ascii="仿宋" w:hAnsi="仿宋" w:eastAsia="仿宋" w:cs="仿宋"/>
          <w:b/>
          <w:bCs/>
          <w:sz w:val="44"/>
          <w:szCs w:val="44"/>
          <w:highlight w:val="white"/>
        </w:rPr>
        <w:t xml:space="preserve">二〇二五年十一月</w:t>
      </w:r>
      <w:r/>
    </w:p>
    <w:p>
      <w:pPr>
        <w:jc w:val="left"/>
        <w:widowControl/>
        <w:rPr>
          <w:rFonts w:hint="eastAsia" w:ascii="仿宋" w:hAnsi="仿宋" w:eastAsia="仿宋" w:cs="仿宋"/>
          <w:b/>
          <w:sz w:val="44"/>
          <w:szCs w:val="21"/>
          <w:highlight w:val="white"/>
        </w:rPr>
      </w:pPr>
      <w:r/>
      <w:bookmarkStart w:id="2" w:name="_Toc120614210"/>
      <w:r/>
      <w:bookmarkStart w:id="3" w:name="_Toc16938516"/>
      <w:r/>
      <w:bookmarkStart w:id="4" w:name="_Toc523127445"/>
      <w:r/>
      <w:bookmarkStart w:id="5" w:name="_Toc513029200"/>
      <w:r/>
      <w:bookmarkStart w:id="6" w:name="_Toc479757206"/>
      <w:r/>
      <w:bookmarkStart w:id="7" w:name="_Toc20823272"/>
      <w:r>
        <w:rPr>
          <w:rFonts w:hint="eastAsia" w:ascii="仿宋" w:hAnsi="仿宋" w:eastAsia="仿宋" w:cs="仿宋"/>
          <w:b/>
          <w:sz w:val="44"/>
          <w:szCs w:val="21"/>
          <w:highlight w:val="white"/>
        </w:rPr>
        <w:br w:type="page" w:clear="all"/>
      </w:r>
      <w:r/>
    </w:p>
    <w:p>
      <w:pPr>
        <w:jc w:val="center"/>
        <w:spacing w:before="120" w:after="120" w:line="360" w:lineRule="auto"/>
        <w:rPr>
          <w:rFonts w:hint="eastAsia" w:ascii="仿宋" w:hAnsi="仿宋" w:eastAsia="仿宋" w:cs="仿宋"/>
          <w:b/>
          <w:sz w:val="44"/>
          <w:szCs w:val="21"/>
          <w:highlight w:val="white"/>
        </w:rPr>
      </w:pPr>
      <w:r>
        <w:rPr>
          <w:rFonts w:hint="eastAsia" w:ascii="仿宋" w:hAnsi="仿宋" w:eastAsia="仿宋" w:cs="仿宋"/>
          <w:b/>
          <w:sz w:val="44"/>
          <w:szCs w:val="21"/>
          <w:highlight w:val="white"/>
        </w:rPr>
        <w:t xml:space="preserve">总  目  录</w:t>
      </w:r>
      <w:r/>
    </w:p>
    <w:p>
      <w:pPr>
        <w:spacing w:line="360" w:lineRule="auto"/>
        <w:rPr>
          <w:rFonts w:hint="eastAsia" w:ascii="仿宋" w:hAnsi="仿宋" w:eastAsia="仿宋" w:cs="仿宋"/>
          <w:b/>
          <w:sz w:val="22"/>
          <w:szCs w:val="18"/>
          <w:highlight w:val="white"/>
        </w:rPr>
      </w:pPr>
      <w:r>
        <w:rPr>
          <w:rFonts w:hint="eastAsia" w:ascii="仿宋" w:hAnsi="仿宋" w:eastAsia="仿宋" w:cs="仿宋"/>
          <w:b/>
          <w:sz w:val="22"/>
          <w:szCs w:val="18"/>
          <w:highlight w:val="white"/>
        </w:rPr>
      </w:r>
      <w:r/>
    </w:p>
    <w:p>
      <w:pPr>
        <w:numPr>
          <w:ilvl w:val="0"/>
          <w:numId w:val="4"/>
        </w:numPr>
        <w:spacing w:line="360" w:lineRule="auto"/>
        <w:rPr>
          <w:rFonts w:hint="eastAsia" w:ascii="仿宋" w:hAnsi="仿宋" w:eastAsia="仿宋" w:cs="仿宋"/>
          <w:sz w:val="28"/>
          <w:szCs w:val="18"/>
          <w:highlight w:val="white"/>
        </w:rPr>
        <w:outlineLvl w:val="0"/>
      </w:pPr>
      <w:r>
        <w:rPr>
          <w:rFonts w:hint="eastAsia" w:ascii="仿宋" w:hAnsi="仿宋" w:eastAsia="仿宋" w:cs="仿宋"/>
          <w:sz w:val="28"/>
          <w:szCs w:val="18"/>
          <w:highlight w:val="white"/>
        </w:rPr>
        <w:t xml:space="preserve">磋商邀请…………………</w:t>
      </w:r>
      <w:r>
        <w:rPr>
          <w:rFonts w:hint="eastAsia" w:ascii="仿宋" w:hAnsi="仿宋" w:eastAsia="仿宋" w:cs="仿宋"/>
          <w:sz w:val="28"/>
          <w:szCs w:val="18"/>
        </w:rPr>
        <w:t xml:space="preserve">…………………………</w:t>
      </w:r>
      <w:r>
        <w:rPr>
          <w:rFonts w:hint="eastAsia" w:ascii="仿宋" w:hAnsi="仿宋" w:eastAsia="仿宋" w:cs="仿宋"/>
          <w:sz w:val="28"/>
          <w:szCs w:val="18"/>
          <w:highlight w:val="white"/>
        </w:rPr>
        <w:t xml:space="preserve">………………… 2</w:t>
      </w:r>
      <w:r/>
    </w:p>
    <w:p>
      <w:pPr>
        <w:numPr>
          <w:ilvl w:val="0"/>
          <w:numId w:val="4"/>
        </w:numPr>
        <w:spacing w:line="360" w:lineRule="auto"/>
        <w:rPr>
          <w:rFonts w:hint="eastAsia" w:ascii="仿宋" w:hAnsi="仿宋" w:eastAsia="仿宋" w:cs="仿宋"/>
          <w:sz w:val="28"/>
          <w:szCs w:val="18"/>
          <w:highlight w:val="white"/>
        </w:rPr>
        <w:outlineLvl w:val="0"/>
      </w:pPr>
      <w:r>
        <w:rPr>
          <w:rFonts w:hint="eastAsia" w:ascii="仿宋" w:hAnsi="仿宋" w:eastAsia="仿宋" w:cs="仿宋"/>
          <w:sz w:val="28"/>
          <w:szCs w:val="18"/>
          <w:highlight w:val="white"/>
        </w:rPr>
        <w:t xml:space="preserve">供应商须知……………………</w:t>
      </w:r>
      <w:r>
        <w:rPr>
          <w:rFonts w:hint="eastAsia" w:ascii="仿宋" w:hAnsi="仿宋" w:eastAsia="仿宋" w:cs="仿宋"/>
          <w:sz w:val="28"/>
          <w:szCs w:val="18"/>
        </w:rPr>
        <w:t xml:space="preserve">…………………………</w:t>
      </w:r>
      <w:r>
        <w:rPr>
          <w:rFonts w:hint="eastAsia" w:ascii="仿宋" w:hAnsi="仿宋" w:eastAsia="仿宋" w:cs="仿宋"/>
          <w:sz w:val="28"/>
          <w:szCs w:val="18"/>
          <w:highlight w:val="white"/>
        </w:rPr>
        <w:t xml:space="preserve">…………… 4</w:t>
      </w:r>
      <w:r/>
    </w:p>
    <w:p>
      <w:pPr>
        <w:numPr>
          <w:ilvl w:val="0"/>
          <w:numId w:val="4"/>
        </w:numPr>
        <w:spacing w:line="360" w:lineRule="auto"/>
        <w:rPr>
          <w:rFonts w:hint="eastAsia" w:ascii="仿宋" w:hAnsi="仿宋" w:eastAsia="仿宋" w:cs="仿宋"/>
          <w:sz w:val="28"/>
          <w:szCs w:val="18"/>
          <w:highlight w:val="white"/>
        </w:rPr>
        <w:outlineLvl w:val="0"/>
      </w:pPr>
      <w:r>
        <w:rPr>
          <w:rFonts w:hint="eastAsia" w:ascii="仿宋" w:hAnsi="仿宋" w:eastAsia="仿宋" w:cs="仿宋"/>
          <w:sz w:val="28"/>
          <w:szCs w:val="18"/>
          <w:highlight w:val="white"/>
        </w:rPr>
        <w:t xml:space="preserve">合同文本……………………………</w:t>
      </w:r>
      <w:r>
        <w:rPr>
          <w:rFonts w:hint="eastAsia" w:ascii="仿宋" w:hAnsi="仿宋" w:eastAsia="仿宋" w:cs="仿宋"/>
          <w:sz w:val="28"/>
          <w:szCs w:val="18"/>
        </w:rPr>
        <w:t xml:space="preserve">…………………………</w:t>
      </w:r>
      <w:r>
        <w:rPr>
          <w:rFonts w:hint="eastAsia" w:ascii="仿宋" w:hAnsi="仿宋" w:eastAsia="仿宋" w:cs="仿宋"/>
          <w:sz w:val="28"/>
          <w:szCs w:val="18"/>
          <w:highlight w:val="white"/>
        </w:rPr>
        <w:t xml:space="preserve">………12</w:t>
      </w:r>
      <w:r/>
    </w:p>
    <w:p>
      <w:pPr>
        <w:numPr>
          <w:ilvl w:val="0"/>
          <w:numId w:val="4"/>
        </w:numPr>
        <w:spacing w:line="360" w:lineRule="auto"/>
        <w:rPr>
          <w:rFonts w:hint="eastAsia" w:ascii="仿宋" w:hAnsi="仿宋" w:eastAsia="仿宋" w:cs="仿宋"/>
          <w:sz w:val="28"/>
          <w:szCs w:val="18"/>
          <w:highlight w:val="white"/>
        </w:rPr>
        <w:outlineLvl w:val="0"/>
      </w:pPr>
      <w:r>
        <w:rPr>
          <w:rFonts w:hint="eastAsia" w:ascii="仿宋" w:hAnsi="仿宋" w:eastAsia="仿宋" w:cs="仿宋"/>
          <w:sz w:val="28"/>
          <w:szCs w:val="18"/>
          <w:highlight w:val="white"/>
        </w:rPr>
        <w:t xml:space="preserve">采购需求……………………………</w:t>
      </w:r>
      <w:r>
        <w:rPr>
          <w:rFonts w:hint="eastAsia" w:ascii="仿宋" w:hAnsi="仿宋" w:eastAsia="仿宋" w:cs="仿宋"/>
          <w:sz w:val="28"/>
          <w:szCs w:val="18"/>
        </w:rPr>
        <w:t xml:space="preserve">…………………………</w:t>
      </w:r>
      <w:r>
        <w:rPr>
          <w:rFonts w:hint="eastAsia" w:ascii="仿宋" w:hAnsi="仿宋" w:eastAsia="仿宋" w:cs="仿宋"/>
          <w:sz w:val="28"/>
          <w:szCs w:val="18"/>
          <w:highlight w:val="white"/>
        </w:rPr>
        <w:t xml:space="preserve">………16</w:t>
      </w:r>
      <w:r/>
    </w:p>
    <w:p>
      <w:pPr>
        <w:numPr>
          <w:ilvl w:val="0"/>
          <w:numId w:val="4"/>
        </w:numPr>
        <w:spacing w:line="360" w:lineRule="auto"/>
        <w:rPr>
          <w:rFonts w:hint="eastAsia" w:ascii="仿宋" w:hAnsi="仿宋" w:eastAsia="仿宋" w:cs="仿宋"/>
          <w:sz w:val="28"/>
          <w:szCs w:val="18"/>
          <w:highlight w:val="white"/>
        </w:rPr>
        <w:outlineLvl w:val="0"/>
      </w:pPr>
      <w:r>
        <w:rPr>
          <w:rFonts w:hint="eastAsia" w:ascii="仿宋" w:hAnsi="仿宋" w:eastAsia="仿宋" w:cs="仿宋"/>
          <w:sz w:val="28"/>
          <w:szCs w:val="18"/>
          <w:highlight w:val="white"/>
        </w:rPr>
        <w:t xml:space="preserve">评审方法与评审标准…………………</w:t>
      </w:r>
      <w:r>
        <w:rPr>
          <w:rFonts w:hint="eastAsia" w:ascii="仿宋" w:hAnsi="仿宋" w:eastAsia="仿宋" w:cs="仿宋"/>
          <w:sz w:val="28"/>
          <w:szCs w:val="18"/>
        </w:rPr>
        <w:t xml:space="preserve">…………………………</w:t>
      </w:r>
      <w:r>
        <w:rPr>
          <w:rFonts w:hint="eastAsia" w:ascii="仿宋" w:hAnsi="仿宋" w:eastAsia="仿宋" w:cs="仿宋"/>
          <w:sz w:val="28"/>
          <w:szCs w:val="18"/>
          <w:highlight w:val="white"/>
        </w:rPr>
        <w:t xml:space="preserve">……22</w:t>
      </w:r>
      <w:r/>
    </w:p>
    <w:p>
      <w:pPr>
        <w:numPr>
          <w:ilvl w:val="0"/>
          <w:numId w:val="4"/>
        </w:numPr>
        <w:spacing w:line="360" w:lineRule="auto"/>
        <w:rPr>
          <w:rFonts w:hint="eastAsia" w:ascii="仿宋" w:hAnsi="仿宋" w:eastAsia="仿宋" w:cs="仿宋"/>
          <w:sz w:val="28"/>
          <w:szCs w:val="18"/>
          <w:highlight w:val="white"/>
        </w:rPr>
        <w:outlineLvl w:val="0"/>
      </w:pPr>
      <w:r>
        <w:rPr>
          <w:rFonts w:hint="eastAsia" w:ascii="仿宋" w:hAnsi="仿宋" w:eastAsia="仿宋" w:cs="仿宋"/>
          <w:sz w:val="28"/>
          <w:szCs w:val="18"/>
          <w:highlight w:val="white"/>
        </w:rPr>
        <w:t xml:space="preserve">响应文件格式……………………………</w:t>
      </w:r>
      <w:r>
        <w:rPr>
          <w:rFonts w:hint="eastAsia" w:ascii="仿宋" w:hAnsi="仿宋" w:eastAsia="仿宋" w:cs="仿宋"/>
          <w:sz w:val="28"/>
          <w:szCs w:val="18"/>
        </w:rPr>
        <w:t xml:space="preserve">…………………………</w:t>
      </w:r>
      <w:r>
        <w:rPr>
          <w:rFonts w:hint="eastAsia" w:ascii="仿宋" w:hAnsi="仿宋" w:eastAsia="仿宋" w:cs="仿宋"/>
          <w:sz w:val="28"/>
          <w:szCs w:val="18"/>
          <w:highlight w:val="white"/>
        </w:rPr>
        <w:t xml:space="preserve">…25</w:t>
      </w:r>
      <w:r/>
    </w:p>
    <w:p>
      <w:pPr>
        <w:rPr>
          <w:rFonts w:hint="eastAsia" w:ascii="仿宋" w:hAnsi="仿宋" w:eastAsia="仿宋" w:cs="仿宋"/>
          <w:szCs w:val="21"/>
          <w:highlight w:val="white"/>
        </w:rPr>
        <w:sectPr>
          <w:headerReference w:type="default" r:id="rId9"/>
          <w:footerReference w:type="default" r:id="rId10"/>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仿宋" w:hAnsi="仿宋" w:eastAsia="仿宋" w:cs="仿宋"/>
          <w:szCs w:val="21"/>
          <w:highlight w:val="white"/>
        </w:rPr>
      </w:r>
      <w:r/>
    </w:p>
    <w:p>
      <w:pPr>
        <w:pStyle w:val="758"/>
        <w:ind w:left="0"/>
        <w:jc w:val="center"/>
        <w:spacing w:line="360" w:lineRule="auto"/>
        <w:tabs>
          <w:tab w:val="left" w:pos="463" w:leader="none"/>
        </w:tabs>
        <w:rPr>
          <w:rFonts w:hint="eastAsia" w:ascii="仿宋" w:hAnsi="仿宋" w:eastAsia="仿宋" w:cs="仿宋"/>
          <w:b/>
          <w:bCs/>
          <w:sz w:val="24"/>
          <w:szCs w:val="24"/>
          <w:highlight w:val="white"/>
        </w:rPr>
      </w:pPr>
      <w:r>
        <w:rPr>
          <w:rFonts w:hint="eastAsia" w:ascii="仿宋" w:hAnsi="仿宋" w:eastAsia="仿宋" w:cs="仿宋"/>
          <w:b/>
          <w:bCs/>
          <w:sz w:val="24"/>
          <w:szCs w:val="24"/>
          <w:highlight w:val="white"/>
          <w:lang w:val="en-US"/>
        </w:rPr>
        <w:t xml:space="preserve">第一章  </w:t>
      </w:r>
      <w:bookmarkEnd w:id="2"/>
      <w:r>
        <w:rPr>
          <w:rFonts w:hint="eastAsia" w:ascii="仿宋" w:hAnsi="仿宋" w:eastAsia="仿宋" w:cs="仿宋"/>
          <w:b/>
          <w:bCs/>
          <w:sz w:val="24"/>
          <w:szCs w:val="24"/>
          <w:highlight w:val="white"/>
          <w:lang w:val="en-US"/>
        </w:rPr>
        <w:t xml:space="preserve">磋商邀请</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u w:val="single"/>
        </w:rPr>
        <w:t xml:space="preserve">受</w:t>
      </w:r>
      <w:r>
        <w:rPr>
          <w:rFonts w:hint="eastAsia" w:ascii="仿宋" w:hAnsi="仿宋" w:eastAsia="仿宋" w:cs="仿宋"/>
          <w:sz w:val="24"/>
          <w:szCs w:val="24"/>
          <w:u w:val="single"/>
          <w:lang w:bidi="ar"/>
        </w:rPr>
        <w:t xml:space="preserve">南京市浦口区滁河河道管理所</w:t>
      </w:r>
      <w:r>
        <w:rPr>
          <w:rFonts w:hint="eastAsia" w:ascii="仿宋" w:hAnsi="仿宋" w:eastAsia="仿宋" w:cs="仿宋"/>
          <w:sz w:val="24"/>
          <w:szCs w:val="24"/>
          <w:highlight w:val="white"/>
        </w:rPr>
        <w:t xml:space="preserve">委托，</w:t>
      </w:r>
      <w:r>
        <w:rPr>
          <w:rFonts w:hint="eastAsia" w:ascii="仿宋" w:hAnsi="仿宋" w:eastAsia="仿宋" w:cs="仿宋"/>
          <w:sz w:val="24"/>
          <w:szCs w:val="24"/>
          <w:highlight w:val="white"/>
          <w:u w:val="single"/>
        </w:rPr>
        <w:t xml:space="preserve">南京文思捷建设项目管理有限公司</w:t>
      </w:r>
      <w:r>
        <w:rPr>
          <w:rFonts w:hint="eastAsia" w:ascii="仿宋" w:hAnsi="仿宋" w:eastAsia="仿宋" w:cs="仿宋"/>
          <w:sz w:val="24"/>
          <w:szCs w:val="24"/>
          <w:highlight w:val="white"/>
        </w:rPr>
        <w:t xml:space="preserve">就</w:t>
      </w:r>
      <w:r>
        <w:rPr>
          <w:rFonts w:hint="eastAsia" w:ascii="仿宋" w:hAnsi="仿宋" w:eastAsia="仿宋" w:cs="仿宋"/>
          <w:sz w:val="24"/>
          <w:szCs w:val="24"/>
          <w:highlight w:val="white"/>
          <w:u w:val="single"/>
        </w:rPr>
        <w:t xml:space="preserve">2025-2026年浦口区白蚁防治服务项目</w:t>
      </w:r>
      <w:r>
        <w:rPr>
          <w:rFonts w:hint="eastAsia" w:ascii="仿宋" w:hAnsi="仿宋" w:eastAsia="仿宋" w:cs="仿宋"/>
          <w:sz w:val="24"/>
          <w:szCs w:val="24"/>
          <w:highlight w:val="white"/>
        </w:rPr>
        <w:t xml:space="preserve">进行竞争性磋商采购，欢迎符合条件的供应商参加磋商。</w:t>
      </w:r>
      <w:r/>
    </w:p>
    <w:p>
      <w:pPr>
        <w:pStyle w:val="801"/>
        <w:ind w:firstLine="465"/>
        <w:spacing w:before="145" w:after="145" w:line="360" w:lineRule="auto"/>
        <w:rPr>
          <w:rFonts w:hint="eastAsia" w:ascii="仿宋" w:hAnsi="仿宋" w:eastAsia="仿宋" w:cs="仿宋"/>
          <w:b w:val="0"/>
          <w:bCs w:val="0"/>
          <w:sz w:val="24"/>
          <w:szCs w:val="24"/>
          <w:highlight w:val="white"/>
        </w:rPr>
      </w:pPr>
      <w:r/>
      <w:bookmarkStart w:id="8" w:name="_Toc28359079"/>
      <w:r/>
      <w:bookmarkStart w:id="9" w:name="_Toc35393790"/>
      <w:r/>
      <w:bookmarkStart w:id="10" w:name="_Toc35393621"/>
      <w:r/>
      <w:bookmarkStart w:id="11" w:name="_Toc38985263"/>
      <w:r/>
      <w:bookmarkStart w:id="12" w:name="_Toc28359002"/>
      <w:r/>
      <w:bookmarkStart w:id="13" w:name="_Hlk24379207"/>
      <w:r>
        <w:rPr>
          <w:rFonts w:hint="eastAsia" w:ascii="仿宋" w:hAnsi="仿宋" w:eastAsia="仿宋" w:cs="仿宋"/>
          <w:b w:val="0"/>
          <w:bCs w:val="0"/>
          <w:sz w:val="24"/>
          <w:szCs w:val="24"/>
          <w:highlight w:val="white"/>
        </w:rPr>
        <w:t xml:space="preserve">一、项目基本情况</w:t>
      </w:r>
      <w:bookmarkEnd w:id="8"/>
      <w:r/>
      <w:bookmarkEnd w:id="9"/>
      <w:r/>
      <w:bookmarkEnd w:id="10"/>
      <w:r/>
      <w:bookmarkEnd w:id="11"/>
      <w:r/>
      <w:bookmarkEnd w:id="12"/>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highlight w:val="white"/>
        </w:rPr>
        <w:t xml:space="preserve">1.项目编号</w:t>
      </w:r>
      <w:r>
        <w:rPr>
          <w:rFonts w:hint="eastAsia" w:ascii="仿宋" w:hAnsi="仿宋" w:eastAsia="仿宋" w:cs="仿宋"/>
          <w:sz w:val="24"/>
          <w:szCs w:val="24"/>
        </w:rPr>
        <w:t xml:space="preserve">：</w:t>
      </w:r>
      <w:r>
        <w:rPr>
          <w:rFonts w:ascii="仿宋" w:hAnsi="仿宋" w:eastAsia="仿宋" w:cs="仿宋"/>
          <w:sz w:val="24"/>
          <w:szCs w:val="24"/>
        </w:rPr>
        <w:t xml:space="preserve">JSZC-320111-WSJD-C2025-0007</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2.项目名称：</w:t>
      </w:r>
      <w:bookmarkEnd w:id="13"/>
      <w:r>
        <w:rPr>
          <w:rFonts w:hint="eastAsia" w:ascii="仿宋" w:hAnsi="仿宋" w:eastAsia="仿宋" w:cs="仿宋"/>
          <w:sz w:val="24"/>
          <w:szCs w:val="24"/>
          <w:highlight w:val="white"/>
        </w:rPr>
        <w:t xml:space="preserve">2025-2026年浦口区白蚁防治服务项目</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3.预算金额：</w:t>
      </w:r>
      <w:r>
        <w:rPr>
          <w:rFonts w:hint="eastAsia" w:ascii="仿宋" w:hAnsi="仿宋" w:eastAsia="仿宋" w:cs="仿宋"/>
          <w:sz w:val="24"/>
          <w:szCs w:val="24"/>
        </w:rPr>
        <w:t xml:space="preserve">174</w:t>
      </w:r>
      <w:r>
        <w:rPr>
          <w:rFonts w:hint="eastAsia" w:ascii="仿宋" w:hAnsi="仿宋" w:eastAsia="仿宋" w:cs="仿宋"/>
          <w:sz w:val="24"/>
          <w:szCs w:val="24"/>
        </w:rPr>
        <w:t xml:space="preserve">万元</w:t>
      </w:r>
      <w:r/>
    </w:p>
    <w:p>
      <w:pPr>
        <w:ind w:firstLine="480"/>
        <w:spacing w:line="360" w:lineRule="auto"/>
        <w:rPr>
          <w:rFonts w:hint="eastAsia" w:ascii="仿宋" w:hAnsi="仿宋" w:eastAsia="仿宋" w:cs="仿宋"/>
          <w:sz w:val="24"/>
          <w:szCs w:val="24"/>
        </w:rPr>
      </w:pPr>
      <w:r/>
      <w:bookmarkStart w:id="14" w:name="_Toc38985264"/>
      <w:r/>
      <w:bookmarkStart w:id="15" w:name="_Toc35393791"/>
      <w:r/>
      <w:bookmarkStart w:id="16" w:name="_Toc28359003"/>
      <w:r/>
      <w:bookmarkStart w:id="17" w:name="_Toc35393622"/>
      <w:r/>
      <w:bookmarkStart w:id="18" w:name="_Toc28359080"/>
      <w:r>
        <w:rPr>
          <w:rFonts w:hint="eastAsia" w:ascii="仿宋" w:hAnsi="仿宋" w:eastAsia="仿宋" w:cs="仿宋"/>
          <w:sz w:val="24"/>
          <w:szCs w:val="24"/>
          <w:highlight w:val="white"/>
        </w:rPr>
        <w:t xml:space="preserve">4.本项目最高限价：</w:t>
      </w:r>
      <w:r>
        <w:rPr>
          <w:rFonts w:hint="eastAsia" w:ascii="仿宋" w:hAnsi="仿宋" w:eastAsia="仿宋" w:cs="仿宋"/>
          <w:sz w:val="24"/>
          <w:szCs w:val="24"/>
        </w:rPr>
        <w:t xml:space="preserve">87万元/年（磋商报价超过项目最高限价作无效响应处理）。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5.采购需求（简介）：</w:t>
      </w:r>
      <w:r>
        <w:rPr>
          <w:rFonts w:hint="eastAsia" w:ascii="仿宋" w:hAnsi="仿宋" w:eastAsia="仿宋" w:cs="仿宋"/>
          <w:sz w:val="24"/>
          <w:szCs w:val="24"/>
          <w:shd w:val="clear" w:color="auto" w:fill="ffffff"/>
        </w:rPr>
        <w:t xml:space="preserve">对全区27座水库，</w:t>
      </w:r>
      <w:r>
        <w:rPr>
          <w:rFonts w:hint="eastAsia" w:ascii="仿宋" w:hAnsi="仿宋" w:eastAsia="仿宋" w:cs="仿宋"/>
          <w:bCs/>
          <w:sz w:val="24"/>
          <w:szCs w:val="24"/>
        </w:rPr>
        <w:t xml:space="preserve">113.54公里堤防全范围普查及</w:t>
      </w:r>
      <w:r>
        <w:rPr>
          <w:rFonts w:hint="eastAsia" w:ascii="仿宋" w:hAnsi="仿宋" w:eastAsia="仿宋" w:cs="仿宋"/>
          <w:sz w:val="24"/>
          <w:szCs w:val="24"/>
          <w:shd w:val="clear" w:color="auto" w:fill="ffffff"/>
        </w:rPr>
        <w:t xml:space="preserve">滁河、清流河、石碛河等98.1公里堤防白蚁日常防治管理工作。</w:t>
      </w:r>
      <w:r>
        <w:rPr>
          <w:rFonts w:hint="eastAsia" w:ascii="仿宋" w:hAnsi="仿宋" w:eastAsia="仿宋" w:cs="仿宋"/>
          <w:sz w:val="24"/>
          <w:szCs w:val="24"/>
        </w:rPr>
        <w:t xml:space="preserve">详细内容见本磋商文件第四章采购需求。</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6.合同履行期限：</w:t>
      </w:r>
      <w:r>
        <w:rPr>
          <w:rFonts w:hint="eastAsia" w:ascii="仿宋" w:hAnsi="仿宋" w:eastAsia="仿宋" w:cs="仿宋"/>
          <w:sz w:val="24"/>
          <w:szCs w:val="24"/>
        </w:rPr>
        <w:t xml:space="preserve">此项目执行“一采多年”，合同一年一签。合同生效之日起一年期满后，采购人有权根据供应商的</w:t>
      </w:r>
      <w:r>
        <w:rPr>
          <w:rFonts w:hint="eastAsia" w:ascii="仿宋" w:hAnsi="仿宋" w:eastAsia="仿宋" w:cs="仿宋"/>
          <w:sz w:val="24"/>
          <w:szCs w:val="24"/>
        </w:rPr>
        <w:t xml:space="preserve">履约考核情况以及政府采购相关政策决定</w:t>
      </w:r>
      <w:r>
        <w:rPr>
          <w:rFonts w:hint="eastAsia" w:ascii="仿宋" w:hAnsi="仿宋" w:eastAsia="仿宋" w:cs="仿宋"/>
          <w:sz w:val="24"/>
          <w:szCs w:val="24"/>
        </w:rPr>
        <w:t xml:space="preserve">是否与中标供应商签订后续服务合同或另行采购，续签合同期限一次一年，续签不超过两次。</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7.本项目不接受联合体参与磋商。</w:t>
      </w:r>
      <w:r/>
    </w:p>
    <w:p>
      <w:pPr>
        <w:pStyle w:val="801"/>
        <w:ind w:firstLine="465"/>
        <w:spacing w:before="145" w:after="145"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二、申请人的资格要求</w:t>
      </w:r>
      <w:bookmarkEnd w:id="14"/>
      <w:r/>
      <w:bookmarkEnd w:id="15"/>
      <w:r/>
      <w:bookmarkEnd w:id="16"/>
      <w:r/>
      <w:bookmarkEnd w:id="17"/>
      <w:r/>
      <w:bookmarkEnd w:id="18"/>
      <w:r/>
      <w:r/>
    </w:p>
    <w:p>
      <w:pPr>
        <w:ind w:firstLine="480"/>
        <w:spacing w:line="360" w:lineRule="auto"/>
        <w:rPr>
          <w:rFonts w:hint="eastAsia" w:ascii="仿宋" w:hAnsi="仿宋" w:eastAsia="仿宋" w:cs="仿宋"/>
          <w:sz w:val="24"/>
          <w:szCs w:val="24"/>
          <w:highlight w:val="white"/>
        </w:rPr>
      </w:pPr>
      <w:r/>
      <w:bookmarkStart w:id="19" w:name="_Toc35393792"/>
      <w:r/>
      <w:bookmarkStart w:id="20" w:name="_Toc28359081"/>
      <w:r/>
      <w:bookmarkStart w:id="21" w:name="_Toc28359004"/>
      <w:r/>
      <w:bookmarkStart w:id="22" w:name="_Toc35393623"/>
      <w:r/>
      <w:bookmarkStart w:id="23" w:name="_Toc38985265"/>
      <w:r>
        <w:rPr>
          <w:rFonts w:hint="eastAsia" w:ascii="仿宋" w:hAnsi="仿宋" w:eastAsia="仿宋" w:cs="仿宋"/>
          <w:sz w:val="24"/>
          <w:szCs w:val="24"/>
          <w:highlight w:val="white"/>
        </w:rPr>
        <w:t xml:space="preserve">（一）通用资格要求</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1.满足《中华人民共和国政府采购法》第二十二条规定，并提供下列材料：</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（1）具有独立承担民事责任的能力（请提供法人或者其他组织的营业执照等证明文件，自然人的身份证明）</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（2）符合《中华人民共和国政府采购法》第二十二条的相关规定，提供《南京市政府采购供应商信用记录表暨信用承诺书》，其中不适用信用承诺的情形： ①供应商被列入严重失信主体名单； ②被相关监管部门作出行政处罚且尚在处罚有效期内； ③其他法律、行政法规规定的不适用信用承诺的情形。</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2.落实政府采购政策需满足的资格要求：</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本项目整体不专门面向中小企业采购服务，执行价格扣除优惠政策，对小微企业报价给予10%的扣除。</w:t>
      </w:r>
      <w:r>
        <w:rPr>
          <w:rFonts w:hint="eastAsia" w:ascii="仿宋" w:hAnsi="仿宋" w:eastAsia="仿宋" w:cs="仿宋"/>
          <w:sz w:val="24"/>
          <w:szCs w:val="24"/>
          <w:highlight w:val="white"/>
          <w:lang w:val="zh-CN"/>
        </w:rPr>
        <w:t xml:space="preserve">供应商为小微企业，提供《小微企业声明函》，格式见第六章。（</w:t>
      </w:r>
      <w:r>
        <w:rPr>
          <w:rFonts w:hint="eastAsia" w:ascii="仿宋" w:hAnsi="仿宋" w:eastAsia="仿宋" w:cs="仿宋"/>
          <w:sz w:val="24"/>
          <w:szCs w:val="24"/>
          <w:highlight w:val="white"/>
        </w:rPr>
        <w:t xml:space="preserve">监狱和戒毒企业视同小型、微型企业，提供由省级以上监狱管理局、戒毒管理局(含新疆生产建设兵团)</w:t>
      </w:r>
      <w:r>
        <w:rPr>
          <w:rFonts w:hint="eastAsia" w:ascii="仿宋" w:hAnsi="仿宋" w:eastAsia="仿宋" w:cs="仿宋"/>
          <w:sz w:val="24"/>
          <w:szCs w:val="24"/>
          <w:highlight w:val="white"/>
        </w:rPr>
        <w:t xml:space="preserve">出具的属于监狱企业的证明文件；残疾人福利性单位视同小型、微型企业，提供《残疾人福利性单位声明函》。</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本项目采购标的对应的中小企业划分标准所属行业为：</w:t>
      </w:r>
      <w:r>
        <w:rPr>
          <w:rFonts w:hint="eastAsia" w:ascii="仿宋" w:hAnsi="仿宋" w:eastAsia="仿宋" w:cs="仿宋"/>
          <w:sz w:val="24"/>
          <w:szCs w:val="24"/>
          <w:highlight w:val="white"/>
          <w:u w:val="single"/>
        </w:rPr>
        <w:t xml:space="preserve">其他未列明行业</w:t>
      </w:r>
      <w:r>
        <w:rPr>
          <w:rFonts w:hint="eastAsia" w:ascii="仿宋" w:hAnsi="仿宋" w:eastAsia="仿宋" w:cs="仿宋"/>
          <w:sz w:val="24"/>
          <w:szCs w:val="24"/>
          <w:highlight w:val="white"/>
        </w:rPr>
        <w:t xml:space="preserve">。根据《中小企业划型标准规定》工信部联企业[2011]300号规定，从业人员300人以下的为中小微型企业。其中，从业人员100人及以上的为中型企业；从业人员10人及以上的为小型企业；从业人员10人以下的为微型企业。</w:t>
      </w:r>
      <w:r/>
    </w:p>
    <w:p>
      <w:pPr>
        <w:spacing w:line="360" w:lineRule="auto"/>
        <w:rPr>
          <w:rFonts w:hint="eastAsia" w:ascii="仿宋" w:hAnsi="仿宋" w:eastAsia="仿宋" w:cs="仿宋"/>
          <w:sz w:val="24"/>
          <w:szCs w:val="24"/>
        </w:rPr>
      </w:pPr>
      <w:r>
        <w:rPr>
          <w:rFonts w:hint="eastAsia" w:ascii="仿宋" w:hAnsi="仿宋" w:eastAsia="仿宋" w:cs="仿宋"/>
          <w:sz w:val="24"/>
          <w:szCs w:val="24"/>
          <w:highlight w:val="white"/>
        </w:rPr>
        <w:t xml:space="preserve">（二）本项目的特定资格要求</w:t>
      </w:r>
      <w:r>
        <w:rPr>
          <w:rFonts w:hint="eastAsia" w:ascii="仿宋" w:hAnsi="仿宋" w:eastAsia="仿宋" w:cs="仿宋"/>
          <w:sz w:val="24"/>
          <w:szCs w:val="24"/>
        </w:rPr>
        <w:t xml:space="preserve">：无。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（三）拒绝下述供应商参加本次采购活动</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2.为采购项目提供整体设计、规范编制或者项目管理、监理、检测等服务的供应商，不得参加本项目的采购活动。</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3.供应商被“信用中国”网站（www.creditchina.gov.cn）、“中国政府采购网”(www.ccgp.gov.cn)列入失信被执行人、重大税收违法案件当事人名单、政府采购严重违法失信行为记录名单。</w:t>
      </w:r>
      <w:bookmarkEnd w:id="19"/>
      <w:r/>
      <w:bookmarkEnd w:id="20"/>
      <w:r/>
      <w:bookmarkEnd w:id="21"/>
      <w:r/>
      <w:bookmarkEnd w:id="22"/>
      <w:r/>
      <w:bookmarkEnd w:id="23"/>
      <w:r/>
      <w:r/>
    </w:p>
    <w:p>
      <w:pPr>
        <w:pStyle w:val="713"/>
        <w:ind w:firstLine="562"/>
        <w:keepLines w:val="0"/>
        <w:keepNext w:val="0"/>
        <w:spacing w:before="0" w:after="0" w:line="360" w:lineRule="auto"/>
        <w:widowControl/>
        <w:rPr>
          <w:rFonts w:hint="eastAsia" w:ascii="仿宋" w:hAnsi="仿宋" w:eastAsia="仿宋" w:cs="仿宋"/>
          <w:bCs/>
          <w:sz w:val="24"/>
          <w:szCs w:val="24"/>
          <w:highlight w:val="white"/>
        </w:rPr>
      </w:pPr>
      <w:r/>
      <w:bookmarkStart w:id="24" w:name="_Toc28359084"/>
      <w:r/>
      <w:bookmarkStart w:id="25" w:name="_Toc38985267"/>
      <w:r/>
      <w:bookmarkStart w:id="26" w:name="_Toc35393625"/>
      <w:r/>
      <w:bookmarkStart w:id="27" w:name="_Toc35393794"/>
      <w:r/>
      <w:bookmarkStart w:id="28" w:name="_Toc28359007"/>
      <w:r>
        <w:rPr>
          <w:rFonts w:hint="eastAsia" w:ascii="仿宋" w:hAnsi="仿宋" w:eastAsia="仿宋" w:cs="仿宋"/>
          <w:b/>
          <w:sz w:val="24"/>
          <w:szCs w:val="24"/>
          <w:highlight w:val="white"/>
        </w:rPr>
        <w:t xml:space="preserve">三、</w:t>
      </w:r>
      <w:r>
        <w:rPr>
          <w:rStyle w:val="753"/>
          <w:rFonts w:hint="eastAsia" w:ascii="仿宋" w:hAnsi="仿宋" w:eastAsia="仿宋" w:cs="仿宋"/>
          <w:sz w:val="24"/>
          <w:szCs w:val="24"/>
          <w:highlight w:val="white"/>
        </w:rPr>
        <w:t xml:space="preserve">获取招标文件</w:t>
      </w:r>
      <w:r/>
    </w:p>
    <w:p>
      <w:pPr>
        <w:pStyle w:val="750"/>
        <w:ind w:firstLine="560"/>
        <w:spacing w:beforeAutospacing="0" w:afterAutospacing="0" w:line="360" w:lineRule="auto"/>
        <w:widowControl/>
        <w:rPr>
          <w:rFonts w:hint="eastAsia" w:ascii="仿宋" w:hAnsi="仿宋" w:eastAsia="仿宋" w:cs="仿宋"/>
          <w:szCs w:val="24"/>
          <w:highlight w:val="white"/>
        </w:rPr>
      </w:pPr>
      <w:r>
        <w:rPr>
          <w:rFonts w:hint="eastAsia" w:ascii="仿宋" w:hAnsi="仿宋" w:eastAsia="仿宋" w:cs="仿宋"/>
          <w:szCs w:val="24"/>
          <w:highlight w:val="white"/>
        </w:rPr>
        <w:t xml:space="preserve">1、时间：自招标文件公告发布之日起</w:t>
      </w:r>
      <w:r>
        <w:rPr>
          <w:rFonts w:hint="eastAsia" w:ascii="仿宋" w:hAnsi="仿宋" w:eastAsia="仿宋" w:cs="仿宋"/>
          <w:szCs w:val="24"/>
        </w:rPr>
        <w:t xml:space="preserve">5个工作日</w:t>
      </w:r>
      <w:r>
        <w:rPr>
          <w:rFonts w:hint="eastAsia" w:ascii="仿宋" w:hAnsi="仿宋" w:eastAsia="仿宋" w:cs="仿宋"/>
          <w:szCs w:val="24"/>
          <w:highlight w:val="white"/>
        </w:rPr>
        <w:t xml:space="preserve"> </w:t>
      </w:r>
      <w:r/>
    </w:p>
    <w:p>
      <w:pPr>
        <w:pStyle w:val="750"/>
        <w:ind w:firstLine="560"/>
        <w:spacing w:beforeAutospacing="0" w:afterAutospacing="0" w:line="360" w:lineRule="auto"/>
        <w:widowControl/>
        <w:rPr>
          <w:rFonts w:hint="eastAsia" w:ascii="仿宋" w:hAnsi="仿宋" w:eastAsia="仿宋" w:cs="仿宋"/>
          <w:szCs w:val="24"/>
          <w:highlight w:val="white"/>
        </w:rPr>
      </w:pPr>
      <w:r>
        <w:rPr>
          <w:rFonts w:hint="eastAsia" w:ascii="仿宋" w:hAnsi="仿宋" w:eastAsia="仿宋" w:cs="仿宋"/>
          <w:szCs w:val="24"/>
          <w:highlight w:val="white"/>
        </w:rPr>
        <w:t xml:space="preserve">2、地点：</w:t>
      </w:r>
      <w:r>
        <w:rPr>
          <w:rFonts w:hint="eastAsia" w:ascii="仿宋" w:hAnsi="仿宋" w:eastAsia="仿宋" w:cs="仿宋"/>
          <w:szCs w:val="24"/>
        </w:rPr>
        <w:t xml:space="preserve">“江苏政府采购网、南京公共采购信息网”自行免费下载</w:t>
      </w:r>
      <w:r/>
    </w:p>
    <w:p>
      <w:pPr>
        <w:pStyle w:val="750"/>
        <w:ind w:firstLine="560"/>
        <w:spacing w:beforeAutospacing="0" w:afterAutospacing="0" w:line="360" w:lineRule="auto"/>
        <w:widowControl/>
        <w:rPr>
          <w:rFonts w:hint="eastAsia" w:ascii="仿宋" w:hAnsi="仿宋" w:eastAsia="仿宋" w:cs="仿宋"/>
          <w:szCs w:val="24"/>
          <w:highlight w:val="white"/>
        </w:rPr>
      </w:pPr>
      <w:r>
        <w:rPr>
          <w:rFonts w:hint="eastAsia" w:ascii="仿宋" w:hAnsi="仿宋" w:eastAsia="仿宋" w:cs="仿宋"/>
          <w:szCs w:val="24"/>
          <w:highlight w:val="white"/>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50"/>
        <w:ind w:firstLine="560"/>
        <w:spacing w:beforeAutospacing="0" w:afterAutospacing="0" w:line="360" w:lineRule="auto"/>
        <w:widowControl/>
        <w:rPr>
          <w:rFonts w:hint="eastAsia" w:ascii="仿宋" w:hAnsi="仿宋" w:eastAsia="仿宋" w:cs="仿宋"/>
          <w:szCs w:val="24"/>
          <w:highlight w:val="white"/>
        </w:rPr>
      </w:pPr>
      <w:r>
        <w:rPr>
          <w:rFonts w:hint="eastAsia" w:ascii="仿宋" w:hAnsi="仿宋" w:eastAsia="仿宋" w:cs="仿宋"/>
          <w:szCs w:val="24"/>
          <w:highlight w:val="white"/>
        </w:rPr>
        <w:t xml:space="preserve">4.售价：0.00元</w:t>
      </w:r>
      <w:r/>
    </w:p>
    <w:p>
      <w:pPr>
        <w:pStyle w:val="713"/>
        <w:ind w:firstLine="562"/>
        <w:keepLines w:val="0"/>
        <w:keepNext w:val="0"/>
        <w:spacing w:before="0" w:after="0" w:line="360" w:lineRule="auto"/>
        <w:widowControl/>
        <w:rPr>
          <w:rFonts w:hint="eastAsia" w:ascii="仿宋" w:hAnsi="仿宋" w:eastAsia="仿宋" w:cs="仿宋"/>
          <w:sz w:val="24"/>
          <w:szCs w:val="24"/>
          <w:highlight w:val="white"/>
        </w:rPr>
      </w:pPr>
      <w:r>
        <w:rPr>
          <w:rStyle w:val="753"/>
          <w:rFonts w:hint="eastAsia" w:ascii="仿宋" w:hAnsi="仿宋" w:eastAsia="仿宋" w:cs="仿宋"/>
          <w:sz w:val="24"/>
          <w:szCs w:val="24"/>
          <w:highlight w:val="white"/>
        </w:rPr>
        <w:t xml:space="preserve">四、提交投标文件截止时间、开标时间和地点</w:t>
      </w:r>
      <w:r/>
    </w:p>
    <w:p>
      <w:pPr>
        <w:pStyle w:val="750"/>
        <w:ind w:firstLine="560"/>
        <w:spacing w:beforeAutospacing="0" w:afterAutospacing="0" w:line="360" w:lineRule="auto"/>
        <w:widowControl/>
        <w:rPr>
          <w:rFonts w:hint="eastAsia" w:ascii="仿宋" w:hAnsi="仿宋" w:eastAsia="仿宋" w:cs="仿宋"/>
          <w:szCs w:val="24"/>
          <w:highlight w:val="yellow"/>
        </w:rPr>
      </w:pPr>
      <w:r>
        <w:rPr>
          <w:rFonts w:hint="eastAsia" w:ascii="仿宋" w:hAnsi="仿宋" w:eastAsia="仿宋" w:cs="仿宋"/>
          <w:szCs w:val="24"/>
        </w:rPr>
        <w:t xml:space="preserve">1、2025年1</w:t>
      </w:r>
      <w:r>
        <w:rPr>
          <w:rFonts w:hint="eastAsia" w:ascii="仿宋" w:hAnsi="仿宋" w:eastAsia="仿宋" w:cs="仿宋"/>
          <w:szCs w:val="24"/>
        </w:rPr>
        <w:t xml:space="preserve">2</w:t>
      </w:r>
      <w:r>
        <w:rPr>
          <w:rFonts w:hint="eastAsia" w:ascii="仿宋" w:hAnsi="仿宋" w:eastAsia="仿宋" w:cs="仿宋"/>
          <w:szCs w:val="24"/>
        </w:rPr>
        <w:t xml:space="preserve">月</w:t>
      </w:r>
      <w:r>
        <w:rPr>
          <w:rFonts w:hint="eastAsia" w:ascii="仿宋" w:hAnsi="仿宋" w:eastAsia="仿宋" w:cs="仿宋"/>
          <w:szCs w:val="24"/>
        </w:rPr>
        <w:t xml:space="preserve">8</w:t>
      </w:r>
      <w:r>
        <w:rPr>
          <w:rFonts w:hint="eastAsia" w:ascii="仿宋" w:hAnsi="仿宋" w:eastAsia="仿宋" w:cs="仿宋"/>
          <w:szCs w:val="24"/>
        </w:rPr>
        <w:t xml:space="preserve">日 14:30 （北京时间）</w:t>
      </w:r>
      <w:r/>
    </w:p>
    <w:p>
      <w:pPr>
        <w:pStyle w:val="750"/>
        <w:ind w:firstLine="560"/>
        <w:spacing w:beforeAutospacing="0" w:afterAutospacing="0" w:line="360" w:lineRule="auto"/>
        <w:widowControl/>
        <w:rPr>
          <w:rFonts w:hint="eastAsia" w:ascii="仿宋" w:hAnsi="仿宋" w:eastAsia="仿宋" w:cs="仿宋"/>
          <w:szCs w:val="24"/>
          <w:highlight w:val="white"/>
        </w:rPr>
      </w:pPr>
      <w:r>
        <w:rPr>
          <w:rFonts w:hint="eastAsia" w:ascii="仿宋" w:hAnsi="仿宋" w:eastAsia="仿宋" w:cs="仿宋"/>
          <w:szCs w:val="24"/>
          <w:highlight w:val="white"/>
        </w:rPr>
        <w:t xml:space="preserve">2、地点：</w:t>
      </w:r>
      <w:r>
        <w:rPr>
          <w:rFonts w:hint="eastAsia" w:ascii="仿宋" w:hAnsi="仿宋" w:eastAsia="仿宋" w:cs="仿宋"/>
          <w:szCs w:val="24"/>
        </w:rPr>
        <w:t xml:space="preserve">江苏省政府采购交易系统（以下简称“苏采云系统”）网上开标大厅</w:t>
      </w:r>
      <w:r/>
    </w:p>
    <w:p>
      <w:pPr>
        <w:pStyle w:val="713"/>
        <w:ind w:firstLine="562"/>
        <w:keepLines w:val="0"/>
        <w:keepNext w:val="0"/>
        <w:spacing w:before="0" w:after="0" w:line="360" w:lineRule="auto"/>
        <w:widowControl/>
        <w:rPr>
          <w:rFonts w:hint="eastAsia" w:ascii="仿宋" w:hAnsi="仿宋" w:eastAsia="仿宋" w:cs="仿宋"/>
          <w:sz w:val="24"/>
          <w:szCs w:val="24"/>
          <w:highlight w:val="white"/>
        </w:rPr>
      </w:pPr>
      <w:r>
        <w:rPr>
          <w:rStyle w:val="753"/>
          <w:rFonts w:hint="eastAsia" w:ascii="仿宋" w:hAnsi="仿宋" w:eastAsia="仿宋" w:cs="仿宋"/>
          <w:sz w:val="24"/>
          <w:szCs w:val="24"/>
          <w:highlight w:val="white"/>
        </w:rPr>
        <w:t xml:space="preserve">五、公告期限</w:t>
      </w:r>
      <w:r/>
    </w:p>
    <w:p>
      <w:pPr>
        <w:pStyle w:val="750"/>
        <w:ind w:firstLine="560"/>
        <w:spacing w:beforeAutospacing="0" w:afterAutospacing="0" w:line="360" w:lineRule="auto"/>
        <w:widowControl/>
        <w:rPr>
          <w:rFonts w:hint="eastAsia" w:ascii="仿宋" w:hAnsi="仿宋" w:eastAsia="仿宋" w:cs="仿宋"/>
          <w:bCs/>
          <w:szCs w:val="24"/>
          <w:highlight w:val="white"/>
        </w:rPr>
      </w:pPr>
      <w:r>
        <w:rPr>
          <w:rFonts w:hint="eastAsia" w:ascii="仿宋" w:hAnsi="仿宋" w:eastAsia="仿宋" w:cs="仿宋"/>
          <w:szCs w:val="24"/>
          <w:highlight w:val="white"/>
        </w:rPr>
        <w:t xml:space="preserve">自本公告发布之日起3个工作日</w:t>
      </w:r>
      <w:bookmarkStart w:id="29" w:name="_Toc35393626"/>
      <w:r/>
      <w:bookmarkStart w:id="30" w:name="_Toc35393795"/>
      <w:r/>
      <w:bookmarkStart w:id="31" w:name="_Toc38985268"/>
      <w:r/>
      <w:bookmarkEnd w:id="24"/>
      <w:r/>
      <w:bookmarkEnd w:id="25"/>
      <w:r/>
      <w:bookmarkEnd w:id="26"/>
      <w:r/>
      <w:bookmarkEnd w:id="27"/>
      <w:r/>
      <w:bookmarkEnd w:id="28"/>
      <w:r>
        <w:rPr>
          <w:rFonts w:hint="eastAsia" w:ascii="仿宋" w:hAnsi="仿宋" w:eastAsia="仿宋" w:cs="仿宋"/>
          <w:bCs/>
          <w:szCs w:val="24"/>
          <w:highlight w:val="white"/>
        </w:rPr>
        <w:t xml:space="preserve">。</w:t>
      </w:r>
      <w:r/>
    </w:p>
    <w:p>
      <w:pPr>
        <w:pStyle w:val="801"/>
        <w:ind w:firstLine="562"/>
        <w:spacing w:before="145" w:after="145"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六、其他补充事宜</w:t>
      </w:r>
      <w:bookmarkEnd w:id="29"/>
      <w:r/>
      <w:bookmarkEnd w:id="30"/>
      <w:r/>
      <w:bookmarkEnd w:id="31"/>
      <w:r/>
      <w:r/>
    </w:p>
    <w:p>
      <w:pPr>
        <w:ind w:firstLine="560"/>
        <w:spacing w:line="360" w:lineRule="auto"/>
        <w:rPr>
          <w:rFonts w:hint="eastAsia" w:ascii="仿宋" w:hAnsi="仿宋" w:eastAsia="仿宋" w:cs="仿宋"/>
          <w:bCs/>
          <w:sz w:val="24"/>
          <w:szCs w:val="24"/>
          <w:highlight w:val="white"/>
        </w:rPr>
      </w:pPr>
      <w:r/>
      <w:bookmarkStart w:id="32" w:name="_Toc38985269"/>
      <w:r/>
      <w:bookmarkStart w:id="33" w:name="_Toc35393796"/>
      <w:r/>
      <w:bookmarkStart w:id="34" w:name="_Toc28359085"/>
      <w:r/>
      <w:bookmarkStart w:id="35" w:name="_Toc35393627"/>
      <w:r/>
      <w:bookmarkStart w:id="36" w:name="_Toc28359008"/>
      <w:r>
        <w:rPr>
          <w:rFonts w:hint="eastAsia" w:ascii="仿宋" w:hAnsi="仿宋" w:eastAsia="仿宋" w:cs="仿宋"/>
          <w:bCs/>
          <w:sz w:val="24"/>
          <w:szCs w:val="24"/>
          <w:highlight w:val="white"/>
        </w:rPr>
        <w:t xml:space="preserve">1.是否接受进口产品：否。</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2.现场勘察及答疑：本项目不组织集中勘察及答疑，供应商如对采购需求有疑问，请咨询采购单位联系人。 </w:t>
      </w:r>
      <w:r/>
    </w:p>
    <w:p>
      <w:pPr>
        <w:ind w:firstLine="562"/>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4" w:tooltip="http://www.ccgp-jiangsu.gov.cn/jiangsu/zlxz/ee/ee3a4bc5a3454aa2b0d9312230633ce9.html" w:history="1">
        <w:r>
          <w:rPr>
            <w:rFonts w:hint="eastAsia" w:ascii="仿宋" w:hAnsi="仿宋" w:eastAsia="仿宋" w:cs="仿宋"/>
            <w:b/>
            <w:bCs/>
            <w:sz w:val="24"/>
            <w:szCs w:val="24"/>
            <w:highlight w:val="white"/>
          </w:rPr>
          <w:t xml:space="preserve">http://www.ccgp-jiangsu.gov.cn/jiangsu/zlxz/ee/ee3a4bc5a3454aa2b0d9312230633ce9.html</w:t>
        </w:r>
      </w:hyperlink>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4.有关本次招标的事项若存在变动或修改，敬请及时关注“中国政府采购网”“江苏政府采购网”“南京公共采购信息网”发布的信息更正公告。</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highlight w:val="white"/>
        </w:rPr>
        <w:t xml:space="preserve">5.</w:t>
      </w:r>
      <w:r>
        <w:rPr>
          <w:rFonts w:hint="eastAsia"/>
        </w:rPr>
        <w:t xml:space="preserve"> </w:t>
      </w:r>
      <w:r>
        <w:rPr>
          <w:rFonts w:hint="eastAsia" w:ascii="仿宋" w:hAnsi="仿宋" w:eastAsia="仿宋" w:cs="仿宋"/>
          <w:sz w:val="24"/>
          <w:szCs w:val="24"/>
        </w:rPr>
        <w:t xml:space="preserve">政府采购信用承诺</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w:t>
      </w:r>
      <w:r>
        <w:rPr>
          <w:rFonts w:hint="eastAsia" w:ascii="仿宋" w:hAnsi="仿宋" w:eastAsia="仿宋" w:cs="仿宋"/>
          <w:sz w:val="24"/>
          <w:szCs w:val="24"/>
        </w:rPr>
        <w:t xml:space="preserve">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（1）符合国家相关规定的财务状况报告；</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（2）依法缴纳税收的证明材料；</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（3）依法缴纳社会保障资金的证明材料；</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（4）具备履行政府采购合同所必需的设备和专业技术能力的证明材料；</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（5）参加政府采购活动前三年内在经营活动中没有重大违法记录的证明材料；</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（6）未被列入失信被执行人、重大税收违法失信主体、政府采购严重违法失信行为记录名单的证明材料。</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供应商涉及以下情形的，不适用信用承诺：</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（1）供应商被列入严重失信主体名单；</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（2）被相关监管部门作出行政处罚且尚在处罚有效期内；</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（3）其他法律、行政法规规定的不适用信用承诺的情形。</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rPr>
        <w:t xml:space="preserve">供应商对信用承诺内容的真实性、合法性、有效性负责。如作出虚假信用承诺，视同为“提供虚假材料谋取中标、成交”的违法行为。</w:t>
      </w:r>
      <w:r/>
    </w:p>
    <w:p>
      <w:pPr>
        <w:pStyle w:val="801"/>
        <w:ind w:firstLine="465"/>
        <w:spacing w:before="145" w:after="145"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七、本次磋商联系方式</w:t>
      </w:r>
      <w:bookmarkEnd w:id="32"/>
      <w:r/>
      <w:bookmarkEnd w:id="33"/>
      <w:r/>
      <w:bookmarkEnd w:id="34"/>
      <w:r/>
      <w:bookmarkEnd w:id="35"/>
      <w:r/>
      <w:bookmarkEnd w:id="36"/>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1.采购人信息</w:t>
      </w:r>
      <w:r/>
    </w:p>
    <w:p>
      <w:pPr>
        <w:ind w:firstLine="7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highlight w:val="white"/>
        </w:rPr>
        <w:t xml:space="preserve">名  称：</w:t>
      </w:r>
      <w:r>
        <w:rPr>
          <w:rFonts w:hint="eastAsia" w:ascii="仿宋" w:hAnsi="仿宋" w:eastAsia="仿宋" w:cs="仿宋"/>
          <w:sz w:val="24"/>
          <w:szCs w:val="24"/>
          <w:lang w:bidi="ar"/>
        </w:rPr>
        <w:t xml:space="preserve">南京市浦口区滁河河道管理所</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highlight w:val="white"/>
        </w:rPr>
        <w:t xml:space="preserve">　地  址：</w:t>
      </w:r>
      <w:r>
        <w:rPr>
          <w:rFonts w:hint="eastAsia" w:ascii="仿宋" w:hAnsi="仿宋" w:eastAsia="仿宋" w:cs="仿宋"/>
          <w:sz w:val="24"/>
          <w:szCs w:val="24"/>
        </w:rPr>
        <w:t xml:space="preserve">南京市浦口区晓桥</w:t>
      </w:r>
      <w:r/>
    </w:p>
    <w:p>
      <w:pPr>
        <w:ind w:firstLine="480"/>
        <w:spacing w:line="360" w:lineRule="auto"/>
        <w:rPr>
          <w:rFonts w:hint="eastAsia" w:ascii="仿宋" w:hAnsi="仿宋" w:eastAsia="仿宋" w:cs="仿宋"/>
          <w:sz w:val="24"/>
          <w:szCs w:val="24"/>
          <w:highlight w:val="white"/>
        </w:rPr>
      </w:pPr>
      <w:r/>
      <w:bookmarkStart w:id="37" w:name="_Toc28359009"/>
      <w:r/>
      <w:bookmarkStart w:id="38" w:name="_Toc28359086"/>
      <w:r/>
      <w:bookmarkEnd w:id="37"/>
      <w:r/>
      <w:bookmarkEnd w:id="38"/>
      <w:r>
        <w:rPr>
          <w:rFonts w:hint="eastAsia" w:ascii="仿宋" w:hAnsi="仿宋" w:eastAsia="仿宋" w:cs="仿宋"/>
          <w:sz w:val="24"/>
          <w:szCs w:val="24"/>
          <w:highlight w:val="white"/>
        </w:rPr>
        <w:t xml:space="preserve">2.磋商代理信息</w:t>
      </w:r>
      <w:r/>
    </w:p>
    <w:p>
      <w:pPr>
        <w:ind w:firstLine="7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名  称：南京文思捷建设项目管理有限公司</w:t>
      </w:r>
      <w:r/>
    </w:p>
    <w:p>
      <w:pPr>
        <w:ind w:firstLine="7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  址：</w:t>
      </w:r>
      <w:r>
        <w:rPr>
          <w:rFonts w:hint="eastAsia" w:ascii="仿宋" w:hAnsi="仿宋" w:eastAsia="仿宋" w:cs="仿宋"/>
          <w:sz w:val="24"/>
          <w:szCs w:val="24"/>
        </w:rPr>
        <w:t xml:space="preserve">南京市江宁区泊寓众彩社区2幢1301室</w:t>
      </w:r>
      <w:r/>
    </w:p>
    <w:p>
      <w:pPr>
        <w:ind w:firstLine="7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联系人：</w:t>
      </w:r>
      <w:r>
        <w:rPr>
          <w:rFonts w:hint="eastAsia" w:ascii="仿宋" w:hAnsi="仿宋" w:eastAsia="仿宋" w:cs="仿宋"/>
          <w:sz w:val="24"/>
          <w:szCs w:val="24"/>
          <w:lang w:val="zh-CN"/>
        </w:rPr>
        <w:t xml:space="preserve">沈工</w:t>
      </w:r>
      <w:r/>
    </w:p>
    <w:p>
      <w:pPr>
        <w:ind w:firstLine="7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联系电话：</w:t>
      </w:r>
      <w:r>
        <w:rPr>
          <w:rFonts w:ascii="仿宋" w:hAnsi="仿宋" w:eastAsia="仿宋" w:cs="仿宋"/>
          <w:sz w:val="24"/>
          <w:szCs w:val="24"/>
          <w:lang w:val="zh-CN"/>
        </w:rPr>
        <w:t xml:space="preserve">13814167091</w:t>
      </w:r>
      <w:r/>
    </w:p>
    <w:p>
      <w:pPr>
        <w:jc w:val="center"/>
        <w:rPr>
          <w:rFonts w:hint="eastAsia" w:ascii="仿宋" w:hAnsi="仿宋" w:eastAsia="仿宋" w:cs="仿宋"/>
          <w:b/>
          <w:bCs/>
          <w:sz w:val="24"/>
          <w:szCs w:val="24"/>
        </w:rPr>
      </w:pPr>
      <w:r/>
      <w:bookmarkStart w:id="39" w:name="_Hlt16619350"/>
      <w:r/>
      <w:bookmarkStart w:id="40" w:name="_Toc120614244"/>
      <w:r/>
      <w:bookmarkStart w:id="41" w:name="_Toc20823346"/>
      <w:r/>
      <w:bookmarkStart w:id="42" w:name="_Toc16938590"/>
      <w:r/>
      <w:bookmarkStart w:id="43" w:name="_Toc462564139"/>
      <w:r/>
      <w:bookmarkStart w:id="44" w:name="_Toc479757211"/>
      <w:r/>
      <w:bookmarkEnd w:id="3"/>
      <w:r/>
      <w:bookmarkEnd w:id="4"/>
      <w:r/>
      <w:bookmarkEnd w:id="5"/>
      <w:r/>
      <w:bookmarkEnd w:id="6"/>
      <w:r/>
      <w:bookmarkEnd w:id="7"/>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第二章  供应商须知</w:t>
      </w:r>
      <w:r/>
    </w:p>
    <w:p>
      <w:pPr>
        <w:ind w:firstLine="498"/>
        <w:keepLines/>
        <w:keepNext/>
        <w:spacing w:before="145" w:after="145" w:line="360" w:lineRule="auto"/>
        <w:rPr>
          <w:rFonts w:hint="eastAsia" w:ascii="仿宋" w:hAnsi="仿宋" w:eastAsia="仿宋" w:cs="仿宋"/>
          <w:b/>
          <w:bCs/>
          <w:sz w:val="24"/>
          <w:szCs w:val="24"/>
          <w:highlight w:val="white"/>
        </w:rPr>
        <w:outlineLvl w:val="2"/>
      </w:pPr>
      <w:r/>
      <w:bookmarkStart w:id="45" w:name="_Toc16938519"/>
      <w:r/>
      <w:bookmarkStart w:id="46" w:name="_Toc120614214"/>
      <w:r/>
      <w:bookmarkStart w:id="47" w:name="_Toc20823275"/>
      <w:r/>
      <w:bookmarkStart w:id="48" w:name="_Toc513029203"/>
      <w:r>
        <w:rPr>
          <w:rFonts w:hint="eastAsia" w:ascii="仿宋" w:hAnsi="仿宋" w:eastAsia="仿宋" w:cs="仿宋"/>
          <w:b/>
          <w:bCs/>
          <w:sz w:val="24"/>
          <w:szCs w:val="24"/>
          <w:highlight w:val="white"/>
        </w:rPr>
        <w:t xml:space="preserve">一、总则</w:t>
      </w:r>
      <w:bookmarkEnd w:id="45"/>
      <w:r/>
      <w:bookmarkEnd w:id="46"/>
      <w:r/>
      <w:bookmarkEnd w:id="47"/>
      <w:r/>
      <w:bookmarkEnd w:id="48"/>
      <w:r/>
      <w:r/>
    </w:p>
    <w:p>
      <w:pPr>
        <w:ind w:firstLine="420"/>
        <w:keepLines/>
        <w:keepNext/>
        <w:spacing w:line="360" w:lineRule="auto"/>
        <w:rPr>
          <w:rFonts w:hint="eastAsia" w:ascii="仿宋" w:hAnsi="仿宋" w:eastAsia="仿宋" w:cs="仿宋"/>
          <w:sz w:val="24"/>
          <w:szCs w:val="24"/>
          <w:highlight w:val="white"/>
        </w:rPr>
        <w:outlineLvl w:val="3"/>
      </w:pPr>
      <w:r/>
      <w:bookmarkStart w:id="49" w:name="_Hlt16619475"/>
      <w:r/>
      <w:bookmarkStart w:id="50" w:name="_Toc458694821"/>
      <w:r/>
      <w:bookmarkStart w:id="51" w:name="_Toc513029204"/>
      <w:r/>
      <w:bookmarkStart w:id="52" w:name="_Toc20823276"/>
      <w:r/>
      <w:bookmarkStart w:id="53" w:name="_Toc16938520"/>
      <w:r/>
      <w:bookmarkEnd w:id="49"/>
      <w:r>
        <w:rPr>
          <w:rFonts w:hint="eastAsia" w:ascii="仿宋" w:hAnsi="仿宋" w:eastAsia="仿宋" w:cs="仿宋"/>
          <w:sz w:val="24"/>
          <w:szCs w:val="24"/>
          <w:highlight w:val="white"/>
        </w:rPr>
        <w:t xml:space="preserve">1</w:t>
      </w:r>
      <w:bookmarkEnd w:id="50"/>
      <w:r>
        <w:rPr>
          <w:rFonts w:hint="eastAsia" w:ascii="仿宋" w:hAnsi="仿宋" w:eastAsia="仿宋" w:cs="仿宋"/>
          <w:sz w:val="24"/>
          <w:szCs w:val="24"/>
          <w:highlight w:val="white"/>
        </w:rPr>
        <w:t xml:space="preserve">、采购方式</w:t>
      </w:r>
      <w:bookmarkEnd w:id="51"/>
      <w:r/>
      <w:bookmarkEnd w:id="52"/>
      <w:r/>
      <w:bookmarkEnd w:id="53"/>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 本次政府采购活动采取竞争性磋商(以下简称磋商)方式，本磋商文件仅适用于磋商公告中所述项目。</w:t>
      </w:r>
      <w:r/>
    </w:p>
    <w:p>
      <w:pPr>
        <w:ind w:firstLine="420"/>
        <w:keepLines/>
        <w:keepNext/>
        <w:spacing w:line="360" w:lineRule="auto"/>
        <w:rPr>
          <w:rFonts w:hint="eastAsia" w:ascii="仿宋" w:hAnsi="仿宋" w:eastAsia="仿宋" w:cs="仿宋"/>
          <w:sz w:val="24"/>
          <w:szCs w:val="24"/>
          <w:highlight w:val="white"/>
        </w:rPr>
        <w:outlineLvl w:val="3"/>
      </w:pPr>
      <w:r/>
      <w:bookmarkStart w:id="54" w:name="_Toc513029205"/>
      <w:r/>
      <w:bookmarkStart w:id="55" w:name="_Toc20823277"/>
      <w:r/>
      <w:bookmarkStart w:id="56" w:name="_Toc16938521"/>
      <w:r>
        <w:rPr>
          <w:rFonts w:hint="eastAsia" w:ascii="仿宋" w:hAnsi="仿宋" w:eastAsia="仿宋" w:cs="仿宋"/>
          <w:sz w:val="24"/>
          <w:szCs w:val="24"/>
          <w:highlight w:val="white"/>
        </w:rPr>
        <w:t xml:space="preserve">2、合格的</w:t>
      </w:r>
      <w:bookmarkEnd w:id="54"/>
      <w:r/>
      <w:bookmarkEnd w:id="55"/>
      <w:r/>
      <w:bookmarkEnd w:id="56"/>
      <w:r>
        <w:rPr>
          <w:rFonts w:hint="eastAsia" w:ascii="仿宋" w:hAnsi="仿宋" w:eastAsia="仿宋" w:cs="仿宋"/>
          <w:sz w:val="24"/>
          <w:szCs w:val="24"/>
          <w:highlight w:val="white"/>
        </w:rPr>
        <w:t xml:space="preserve">供应商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 满足磋商公告中供应商资格要求的规定。</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 满足本磋商文件实质性要求和条件的规定。</w:t>
      </w:r>
      <w:r/>
    </w:p>
    <w:p>
      <w:pPr>
        <w:ind w:firstLine="420"/>
        <w:keepLines/>
        <w:keepNext/>
        <w:spacing w:line="360" w:lineRule="auto"/>
        <w:rPr>
          <w:rFonts w:hint="eastAsia" w:ascii="仿宋" w:hAnsi="仿宋" w:eastAsia="仿宋" w:cs="仿宋"/>
          <w:sz w:val="24"/>
          <w:szCs w:val="24"/>
          <w:highlight w:val="white"/>
        </w:rPr>
        <w:outlineLvl w:val="3"/>
      </w:pPr>
      <w:r/>
      <w:bookmarkStart w:id="57" w:name="_Toc16938522"/>
      <w:r/>
      <w:bookmarkStart w:id="58" w:name="_Toc20823278"/>
      <w:r/>
      <w:bookmarkStart w:id="59" w:name="_Toc513029206"/>
      <w:r>
        <w:rPr>
          <w:rFonts w:hint="eastAsia" w:ascii="仿宋" w:hAnsi="仿宋" w:eastAsia="仿宋" w:cs="仿宋"/>
          <w:sz w:val="24"/>
          <w:szCs w:val="24"/>
          <w:highlight w:val="white"/>
        </w:rPr>
        <w:t xml:space="preserve">3、适用法律</w:t>
      </w:r>
      <w:bookmarkEnd w:id="57"/>
      <w:r/>
      <w:bookmarkEnd w:id="58"/>
      <w:r/>
      <w:bookmarkEnd w:id="59"/>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3.1 </w:t>
      </w:r>
      <w:r>
        <w:rPr>
          <w:rFonts w:hint="eastAsia" w:ascii="仿宋" w:hAnsi="仿宋" w:eastAsia="仿宋" w:cs="仿宋"/>
          <w:sz w:val="24"/>
          <w:szCs w:val="24"/>
        </w:rPr>
        <w:t xml:space="preserve">《中华人民共和国政府采购法》、《中华人民共和国政府采购法实施条例》、《政府采购竞争性磋商采购方式管理暂行办法》等有关法律、规章和规定等</w:t>
      </w:r>
      <w:r>
        <w:rPr>
          <w:rFonts w:hint="eastAsia" w:ascii="仿宋" w:hAnsi="仿宋" w:eastAsia="仿宋" w:cs="仿宋"/>
          <w:sz w:val="24"/>
          <w:szCs w:val="24"/>
          <w:highlight w:val="white"/>
        </w:rPr>
        <w:t xml:space="preserve">。</w:t>
      </w:r>
      <w:r/>
    </w:p>
    <w:p>
      <w:pPr>
        <w:ind w:firstLine="420"/>
        <w:keepLines/>
        <w:keepNext/>
        <w:spacing w:line="360" w:lineRule="auto"/>
        <w:rPr>
          <w:rFonts w:hint="eastAsia" w:ascii="仿宋" w:hAnsi="仿宋" w:eastAsia="仿宋" w:cs="仿宋"/>
          <w:sz w:val="24"/>
          <w:szCs w:val="24"/>
          <w:highlight w:val="white"/>
        </w:rPr>
        <w:outlineLvl w:val="3"/>
      </w:pPr>
      <w:r/>
      <w:bookmarkStart w:id="60" w:name="_Toc20823279"/>
      <w:r/>
      <w:bookmarkStart w:id="61" w:name="_Toc16938523"/>
      <w:r/>
      <w:bookmarkStart w:id="62" w:name="_Toc462564067"/>
      <w:r/>
      <w:bookmarkStart w:id="63" w:name="_Toc513029207"/>
      <w:r>
        <w:rPr>
          <w:rFonts w:hint="eastAsia" w:ascii="仿宋" w:hAnsi="仿宋" w:eastAsia="仿宋" w:cs="仿宋"/>
          <w:sz w:val="24"/>
          <w:szCs w:val="24"/>
          <w:highlight w:val="white"/>
        </w:rPr>
        <w:t xml:space="preserve">4、磋商费用</w:t>
      </w:r>
      <w:bookmarkEnd w:id="60"/>
      <w:r/>
      <w:bookmarkEnd w:id="61"/>
      <w:r/>
      <w:bookmarkEnd w:id="62"/>
      <w:r/>
      <w:bookmarkEnd w:id="63"/>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 供应商应承担所有与准备和参加磋商有关的费用，无论采购结果如何，南京文思捷建设项目管理有限公司和采购人在任何情况下均无义务和责任承担这些费用。</w:t>
      </w:r>
      <w:r/>
    </w:p>
    <w:p>
      <w:pPr>
        <w:ind w:right="120"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highlight w:val="white"/>
        </w:rPr>
        <w:t xml:space="preserve">4.2</w:t>
      </w:r>
      <w:r>
        <w:rPr>
          <w:rFonts w:hint="eastAsia" w:ascii="仿宋" w:hAnsi="仿宋" w:eastAsia="仿宋" w:cs="仿宋"/>
          <w:spacing w:val="-2"/>
          <w:sz w:val="24"/>
          <w:szCs w:val="24"/>
        </w:rPr>
        <w:t xml:space="preserve">本次代理费和专家评审费由成交供应商支付。招标代理费按照《招标代理服务收费管理暂行办法》（国家发展计划委员会计价格 [2002]1980号）70%收费。代理费已含在投标报价中，结算时不予另计。请供应商充分考虑在投标报价中。</w:t>
      </w:r>
      <w:r/>
    </w:p>
    <w:p>
      <w:pPr>
        <w:ind w:firstLine="420"/>
        <w:keepLines/>
        <w:keepNext/>
        <w:spacing w:line="360" w:lineRule="auto"/>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5、磋商文件的约束力</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5.1 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sz w:val="24"/>
          <w:szCs w:val="24"/>
          <w:highlight w:val="white"/>
        </w:rPr>
        <w:outlineLvl w:val="2"/>
      </w:pPr>
      <w:r/>
      <w:bookmarkStart w:id="64" w:name="_Toc20823281"/>
      <w:r/>
      <w:bookmarkStart w:id="65" w:name="_Toc16938525"/>
      <w:r/>
      <w:bookmarkStart w:id="66" w:name="_Toc513029209"/>
      <w:r/>
      <w:bookmarkStart w:id="67" w:name="_Toc120614215"/>
      <w:r>
        <w:rPr>
          <w:rFonts w:hint="eastAsia" w:ascii="仿宋" w:hAnsi="仿宋" w:eastAsia="仿宋" w:cs="仿宋"/>
          <w:b/>
          <w:bCs/>
          <w:sz w:val="24"/>
          <w:szCs w:val="24"/>
          <w:highlight w:val="white"/>
        </w:rPr>
        <w:t xml:space="preserve">二、</w:t>
      </w:r>
      <w:bookmarkEnd w:id="64"/>
      <w:r/>
      <w:bookmarkEnd w:id="65"/>
      <w:r/>
      <w:bookmarkEnd w:id="66"/>
      <w:r/>
      <w:bookmarkEnd w:id="67"/>
      <w:r>
        <w:rPr>
          <w:rFonts w:hint="eastAsia" w:ascii="仿宋" w:hAnsi="仿宋" w:eastAsia="仿宋" w:cs="仿宋"/>
          <w:b/>
          <w:bCs/>
          <w:sz w:val="24"/>
          <w:szCs w:val="24"/>
          <w:highlight w:val="white"/>
        </w:rPr>
        <w:t xml:space="preserve">磋商文件</w:t>
      </w:r>
      <w:r/>
    </w:p>
    <w:p>
      <w:pPr>
        <w:ind w:firstLine="420"/>
        <w:keepLines/>
        <w:keepNext/>
        <w:spacing w:line="360" w:lineRule="auto"/>
        <w:rPr>
          <w:rFonts w:hint="eastAsia" w:ascii="仿宋" w:hAnsi="仿宋" w:eastAsia="仿宋" w:cs="仿宋"/>
          <w:sz w:val="24"/>
          <w:szCs w:val="24"/>
          <w:highlight w:val="white"/>
        </w:rPr>
        <w:outlineLvl w:val="3"/>
      </w:pPr>
      <w:r/>
      <w:bookmarkStart w:id="68" w:name="_Toc16938526"/>
      <w:r/>
      <w:bookmarkStart w:id="69" w:name="_Toc513029210"/>
      <w:r/>
      <w:bookmarkStart w:id="70" w:name="_Toc20823282"/>
      <w:r>
        <w:rPr>
          <w:rFonts w:hint="eastAsia" w:ascii="仿宋" w:hAnsi="仿宋" w:eastAsia="仿宋" w:cs="仿宋"/>
          <w:sz w:val="24"/>
          <w:szCs w:val="24"/>
          <w:highlight w:val="white"/>
        </w:rPr>
        <w:t xml:space="preserve">6、磋商文件构成</w:t>
      </w:r>
      <w:bookmarkEnd w:id="68"/>
      <w:r/>
      <w:bookmarkEnd w:id="69"/>
      <w:r/>
      <w:bookmarkEnd w:id="70"/>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6.1 磋商文件由以下部分组成：</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（1）磋商邀请</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（2）供应商须知</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（3）合同文本</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（4）采购需求</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（5）评审方法与评审标准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（6）响应文件格式</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供应商应仔细检查磋商文件是否齐全，如有缺漏请立即与磋商代理联系解决。</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360" w:lineRule="auto"/>
        <w:rPr>
          <w:rFonts w:hint="eastAsia" w:ascii="仿宋" w:hAnsi="仿宋" w:eastAsia="仿宋" w:cs="仿宋"/>
          <w:sz w:val="24"/>
          <w:szCs w:val="24"/>
          <w:highlight w:val="white"/>
        </w:rPr>
        <w:outlineLvl w:val="3"/>
      </w:pPr>
      <w:r/>
      <w:bookmarkStart w:id="71" w:name="_Toc16938527"/>
      <w:r/>
      <w:bookmarkStart w:id="72" w:name="_Toc462564070"/>
      <w:r/>
      <w:bookmarkStart w:id="73" w:name="_Toc513029211"/>
      <w:r/>
      <w:bookmarkStart w:id="74" w:name="_Toc20823283"/>
      <w:r>
        <w:rPr>
          <w:rFonts w:hint="eastAsia" w:ascii="仿宋" w:hAnsi="仿宋" w:eastAsia="仿宋" w:cs="仿宋"/>
          <w:sz w:val="24"/>
          <w:szCs w:val="24"/>
          <w:highlight w:val="white"/>
        </w:rPr>
        <w:t xml:space="preserve">7、磋商文件的澄清</w:t>
      </w:r>
      <w:bookmarkEnd w:id="71"/>
      <w:r/>
      <w:bookmarkEnd w:id="72"/>
      <w:r/>
      <w:bookmarkEnd w:id="73"/>
      <w:r/>
      <w:bookmarkEnd w:id="74"/>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7.1 任何要求对磋商文件进行澄清的供应商，应在磋商截止期5日前按磋商公告中的通讯地址，以书面形式通知磋商代理。</w:t>
      </w:r>
      <w:r/>
    </w:p>
    <w:p>
      <w:pPr>
        <w:ind w:firstLine="420"/>
        <w:keepLines/>
        <w:keepNext/>
        <w:spacing w:line="360" w:lineRule="auto"/>
        <w:rPr>
          <w:rFonts w:hint="eastAsia" w:ascii="仿宋" w:hAnsi="仿宋" w:eastAsia="仿宋" w:cs="仿宋"/>
          <w:sz w:val="24"/>
          <w:szCs w:val="24"/>
          <w:highlight w:val="white"/>
        </w:rPr>
        <w:outlineLvl w:val="3"/>
      </w:pPr>
      <w:r/>
      <w:bookmarkStart w:id="75" w:name="_Toc16938528"/>
      <w:r/>
      <w:bookmarkStart w:id="76" w:name="_Toc513029212"/>
      <w:r/>
      <w:bookmarkStart w:id="77" w:name="_Toc462564071"/>
      <w:r/>
      <w:bookmarkStart w:id="78" w:name="_Toc20823284"/>
      <w:r>
        <w:rPr>
          <w:rFonts w:hint="eastAsia" w:ascii="仿宋" w:hAnsi="仿宋" w:eastAsia="仿宋" w:cs="仿宋"/>
          <w:sz w:val="24"/>
          <w:szCs w:val="24"/>
          <w:highlight w:val="white"/>
        </w:rPr>
        <w:t xml:space="preserve">8、磋商文件的澄清和修改</w:t>
      </w:r>
      <w:bookmarkEnd w:id="75"/>
      <w:r/>
      <w:bookmarkEnd w:id="76"/>
      <w:r/>
      <w:bookmarkEnd w:id="77"/>
      <w:r/>
      <w:bookmarkEnd w:id="78"/>
      <w:r/>
      <w:r/>
    </w:p>
    <w:p>
      <w:pPr>
        <w:ind w:firstLine="420"/>
        <w:spacing w:line="360" w:lineRule="auto"/>
        <w:rPr>
          <w:rFonts w:hint="eastAsia" w:ascii="仿宋" w:hAnsi="仿宋" w:eastAsia="仿宋" w:cs="仿宋"/>
          <w:sz w:val="24"/>
          <w:szCs w:val="24"/>
          <w:highlight w:val="white"/>
        </w:rPr>
      </w:pPr>
      <w:r/>
      <w:bookmarkStart w:id="79" w:name="_Toc513029213"/>
      <w:r/>
      <w:bookmarkStart w:id="80" w:name="_Toc16938529"/>
      <w:r/>
      <w:bookmarkStart w:id="81" w:name="_Toc120614216"/>
      <w:r/>
      <w:bookmarkStart w:id="82" w:name="_Toc462564072"/>
      <w:r/>
      <w:bookmarkStart w:id="83" w:name="_Toc20823285"/>
      <w:r>
        <w:rPr>
          <w:rFonts w:hint="eastAsia" w:ascii="仿宋" w:hAnsi="仿宋" w:eastAsia="仿宋" w:cs="仿宋"/>
          <w:sz w:val="24"/>
          <w:szCs w:val="24"/>
          <w:highlight w:val="white"/>
        </w:rPr>
        <w:t xml:space="preserve">8.1 在响应文件提交截止时间前，磋商代理可以对磋商文件进行修改。磋商文件的修改将在原公告媒体发布更正公告，更正内容将作为磋商文件的组成部分，并对供应商具有约束力。</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8.3 磋商代理有权按照法定的要求推迟提交响应文件截止时间，并在原公告媒体发布更正公告。</w:t>
      </w:r>
      <w:r/>
    </w:p>
    <w:p>
      <w:pPr>
        <w:ind w:firstLine="498"/>
        <w:keepLines/>
        <w:keepNext/>
        <w:spacing w:before="145" w:after="145" w:line="360" w:lineRule="auto"/>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rPr>
        <w:t xml:space="preserve">三、响应文件的编制</w:t>
      </w:r>
      <w:bookmarkEnd w:id="79"/>
      <w:r/>
      <w:bookmarkEnd w:id="80"/>
      <w:r/>
      <w:bookmarkEnd w:id="81"/>
      <w:r/>
      <w:bookmarkEnd w:id="82"/>
      <w:r/>
      <w:bookmarkEnd w:id="83"/>
      <w:r/>
      <w:r/>
    </w:p>
    <w:p>
      <w:pPr>
        <w:ind w:firstLine="420"/>
        <w:keepLines/>
        <w:keepNext/>
        <w:spacing w:line="360" w:lineRule="auto"/>
        <w:rPr>
          <w:rFonts w:hint="eastAsia" w:ascii="仿宋" w:hAnsi="仿宋" w:eastAsia="仿宋" w:cs="仿宋"/>
          <w:sz w:val="24"/>
          <w:szCs w:val="24"/>
          <w:highlight w:val="white"/>
        </w:rPr>
        <w:outlineLvl w:val="3"/>
      </w:pPr>
      <w:r/>
      <w:bookmarkStart w:id="84" w:name="_Toc20823286"/>
      <w:r/>
      <w:bookmarkStart w:id="85" w:name="_Toc16938530"/>
      <w:r/>
      <w:bookmarkStart w:id="86" w:name="_Toc513029214"/>
      <w:r/>
      <w:bookmarkStart w:id="87" w:name="_Toc462564073"/>
      <w:r>
        <w:rPr>
          <w:rFonts w:hint="eastAsia" w:ascii="仿宋" w:hAnsi="仿宋" w:eastAsia="仿宋" w:cs="仿宋"/>
          <w:sz w:val="24"/>
          <w:szCs w:val="24"/>
          <w:highlight w:val="white"/>
        </w:rPr>
        <w:t xml:space="preserve">9、响应文件的语言及度量衡单位</w:t>
      </w:r>
      <w:bookmarkEnd w:id="84"/>
      <w:r/>
      <w:bookmarkEnd w:id="85"/>
      <w:r/>
      <w:bookmarkEnd w:id="86"/>
      <w:r/>
      <w:bookmarkEnd w:id="87"/>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 供应商提交的响应文件以及供应商与磋商代理就有关磋商的所有来往通知、函件和文件均应使用简体中文。</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 除技术性能另有规定外，响应文件所使用的度量衡单位，均须采用国家法定计量单位。</w:t>
      </w:r>
      <w:r/>
    </w:p>
    <w:p>
      <w:pPr>
        <w:ind w:firstLine="420"/>
        <w:keepLines/>
        <w:keepNext/>
        <w:spacing w:line="360" w:lineRule="auto"/>
        <w:rPr>
          <w:rFonts w:hint="eastAsia" w:ascii="仿宋" w:hAnsi="仿宋" w:eastAsia="仿宋" w:cs="仿宋"/>
          <w:sz w:val="24"/>
          <w:szCs w:val="24"/>
          <w:highlight w:val="white"/>
        </w:rPr>
        <w:outlineLvl w:val="3"/>
      </w:pPr>
      <w:r/>
      <w:bookmarkStart w:id="88" w:name="_Toc513029215"/>
      <w:r/>
      <w:bookmarkStart w:id="89" w:name="_Toc16938531"/>
      <w:r/>
      <w:bookmarkStart w:id="90" w:name="_Toc462564074"/>
      <w:r/>
      <w:bookmarkStart w:id="91" w:name="_Toc20823287"/>
      <w:r>
        <w:rPr>
          <w:rFonts w:hint="eastAsia" w:ascii="仿宋" w:hAnsi="仿宋" w:eastAsia="仿宋" w:cs="仿宋"/>
          <w:sz w:val="24"/>
          <w:szCs w:val="24"/>
          <w:highlight w:val="white"/>
        </w:rPr>
        <w:t xml:space="preserve">10、响应文件构成</w:t>
      </w:r>
      <w:bookmarkEnd w:id="88"/>
      <w:r/>
      <w:bookmarkEnd w:id="89"/>
      <w:r/>
      <w:bookmarkEnd w:id="90"/>
      <w:r/>
      <w:bookmarkEnd w:id="91"/>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10.1 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10.2 如标书制作工具中格式和内容与“江苏政府采购网”发布的磋商文件不一致，以“江苏政府采购网”发布的磋商文件为准。</w:t>
      </w:r>
      <w:r/>
    </w:p>
    <w:p>
      <w:pPr>
        <w:ind w:firstLine="420"/>
        <w:keepLines/>
        <w:keepNext/>
        <w:spacing w:line="360" w:lineRule="auto"/>
        <w:rPr>
          <w:rFonts w:hint="eastAsia" w:ascii="仿宋" w:hAnsi="仿宋" w:eastAsia="仿宋" w:cs="仿宋"/>
          <w:sz w:val="24"/>
          <w:szCs w:val="24"/>
          <w:highlight w:val="white"/>
        </w:rPr>
        <w:outlineLvl w:val="3"/>
      </w:pPr>
      <w:r/>
      <w:bookmarkStart w:id="92" w:name="_Hlt26954838"/>
      <w:r/>
      <w:bookmarkStart w:id="93" w:name="_Hlt26670360"/>
      <w:r/>
      <w:bookmarkStart w:id="94" w:name="_Hlt26668975"/>
      <w:r/>
      <w:bookmarkStart w:id="95" w:name="_Toc513029216"/>
      <w:r/>
      <w:bookmarkStart w:id="96" w:name="_Toc14577357"/>
      <w:r/>
      <w:bookmarkStart w:id="97" w:name="_Toc513029219"/>
      <w:r/>
      <w:bookmarkStart w:id="98" w:name="_Toc14577355"/>
      <w:r/>
      <w:bookmarkStart w:id="99" w:name="_Toc14577354"/>
      <w:r/>
      <w:bookmarkStart w:id="100" w:name="_Toc49090508"/>
      <w:r/>
      <w:bookmarkStart w:id="101" w:name="_Toc49090507"/>
      <w:r/>
      <w:bookmarkStart w:id="102" w:name="_Toc49090509"/>
      <w:r/>
      <w:bookmarkEnd w:id="92"/>
      <w:r/>
      <w:bookmarkEnd w:id="93"/>
      <w:r/>
      <w:bookmarkEnd w:id="94"/>
      <w:r>
        <w:rPr>
          <w:rFonts w:hint="eastAsia" w:ascii="仿宋" w:hAnsi="仿宋" w:eastAsia="仿宋" w:cs="仿宋"/>
          <w:sz w:val="24"/>
          <w:szCs w:val="24"/>
          <w:highlight w:val="white"/>
        </w:rPr>
        <w:t xml:space="preserve">11、证明磋商响应标的符合磋商文件规定的文件</w:t>
      </w:r>
      <w:bookmarkEnd w:id="95"/>
      <w:r/>
      <w:bookmarkEnd w:id="96"/>
      <w:r/>
      <w:bookmarkEnd w:id="97"/>
      <w:r/>
      <w:bookmarkEnd w:id="98"/>
      <w:r/>
      <w:bookmarkEnd w:id="99"/>
      <w:r/>
      <w:bookmarkEnd w:id="100"/>
      <w:r/>
      <w:bookmarkEnd w:id="101"/>
      <w:r/>
      <w:bookmarkEnd w:id="102"/>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 供应商应按照法律、法规、规章和规范性文件以及磋商文件要求提交证明文件，证明其响应标的符合磋商文件规定。</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 磋商文件对证明文件无明确形式要求的，证明文件可以以文字资料、图纸和数据等</w:t>
      </w:r>
      <w:r>
        <w:rPr>
          <w:rFonts w:hint="eastAsia" w:ascii="仿宋" w:hAnsi="仿宋" w:eastAsia="仿宋" w:cs="仿宋"/>
          <w:sz w:val="24"/>
          <w:szCs w:val="24"/>
          <w:highlight w:val="white"/>
        </w:rPr>
        <w:t xml:space="preserve">形式提交。</w:t>
      </w:r>
      <w:r/>
    </w:p>
    <w:p>
      <w:pPr>
        <w:ind w:firstLine="420"/>
        <w:keepLines/>
        <w:keepNext/>
        <w:spacing w:line="360" w:lineRule="auto"/>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12、分项报价表</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12.1 供应商应按照磋商文件规定格式填报分项报价表。</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12.2 磋商货币。响应文件中的单价和总价无特殊规定的采用人民币报价，以元为单位标注。磋商文件中另有规定的按规定执行。</w:t>
      </w:r>
      <w:r/>
    </w:p>
    <w:p>
      <w:pPr>
        <w:ind w:firstLine="420"/>
        <w:keepLines/>
        <w:keepNext/>
        <w:spacing w:line="360" w:lineRule="auto"/>
        <w:rPr>
          <w:rFonts w:hint="eastAsia" w:ascii="仿宋" w:hAnsi="仿宋" w:eastAsia="仿宋" w:cs="仿宋"/>
          <w:sz w:val="24"/>
          <w:szCs w:val="24"/>
          <w:highlight w:val="white"/>
        </w:rPr>
        <w:outlineLvl w:val="3"/>
      </w:pPr>
      <w:r/>
      <w:bookmarkStart w:id="103" w:name="_Hlt26954848"/>
      <w:r/>
      <w:bookmarkStart w:id="104" w:name="_Hlt26954731"/>
      <w:r/>
      <w:bookmarkStart w:id="105" w:name="_Hlt26954846"/>
      <w:r/>
      <w:bookmarkStart w:id="106" w:name="_Hlt26670482"/>
      <w:r/>
      <w:bookmarkStart w:id="107" w:name="_Hlt26670486"/>
      <w:r/>
      <w:bookmarkEnd w:id="103"/>
      <w:r/>
      <w:bookmarkEnd w:id="104"/>
      <w:r/>
      <w:bookmarkEnd w:id="105"/>
      <w:r/>
      <w:bookmarkEnd w:id="106"/>
      <w:r/>
      <w:bookmarkEnd w:id="107"/>
      <w:r>
        <w:rPr>
          <w:rFonts w:hint="eastAsia" w:ascii="仿宋" w:hAnsi="仿宋" w:eastAsia="仿宋" w:cs="仿宋"/>
          <w:sz w:val="24"/>
          <w:szCs w:val="24"/>
          <w:highlight w:val="white"/>
        </w:rPr>
        <w:t xml:space="preserve">13、技术要求响应及偏离表、商务要求响应及偏离表</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13.1</w:t>
      </w: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lang w:val="zh-CN"/>
        </w:rPr>
        <w:t xml:space="preserve">供应商需对磋商文件中的技术要求与商务要求逐项作出响应或偏离，并说明原因。</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13.2</w:t>
      </w: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lang w:val="zh-CN"/>
        </w:rPr>
        <w:t xml:space="preserve">供应商可在响应文件中提供认为需要的其他技术文件或说明。</w:t>
      </w:r>
      <w:r/>
    </w:p>
    <w:p>
      <w:pPr>
        <w:ind w:firstLine="420"/>
        <w:keepLines/>
        <w:keepNext/>
        <w:spacing w:line="360" w:lineRule="auto"/>
        <w:rPr>
          <w:rFonts w:hint="eastAsia" w:ascii="仿宋" w:hAnsi="仿宋" w:eastAsia="仿宋" w:cs="仿宋"/>
          <w:sz w:val="24"/>
          <w:szCs w:val="24"/>
          <w:highlight w:val="white"/>
        </w:rPr>
        <w:outlineLvl w:val="3"/>
      </w:pPr>
      <w:r/>
      <w:bookmarkStart w:id="108" w:name="_Toc49090510"/>
      <w:r/>
      <w:bookmarkStart w:id="109" w:name="_Toc14577359"/>
      <w:r>
        <w:rPr>
          <w:rFonts w:hint="eastAsia" w:ascii="仿宋" w:hAnsi="仿宋" w:eastAsia="仿宋" w:cs="仿宋"/>
          <w:sz w:val="24"/>
          <w:szCs w:val="24"/>
          <w:highlight w:val="white"/>
        </w:rPr>
        <w:t xml:space="preserve">14、磋商响应函</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1</w:t>
      </w:r>
      <w:r>
        <w:rPr>
          <w:rFonts w:hint="eastAsia" w:ascii="仿宋" w:hAnsi="仿宋" w:eastAsia="仿宋" w:cs="仿宋"/>
          <w:sz w:val="24"/>
          <w:szCs w:val="24"/>
          <w:highlight w:val="white"/>
        </w:rPr>
        <w:t xml:space="preserve">4</w:t>
      </w:r>
      <w:r>
        <w:rPr>
          <w:rFonts w:hint="eastAsia" w:ascii="仿宋" w:hAnsi="仿宋" w:eastAsia="仿宋" w:cs="仿宋"/>
          <w:sz w:val="24"/>
          <w:szCs w:val="24"/>
          <w:highlight w:val="white"/>
          <w:lang w:val="zh-CN"/>
        </w:rPr>
        <w:t xml:space="preserve">.1供应商应按照磋商文件中提供的格式完整、正确填写磋商响应函。</w:t>
      </w:r>
      <w:bookmarkEnd w:id="108"/>
      <w:r/>
      <w:bookmarkEnd w:id="109"/>
      <w:r/>
      <w:r/>
    </w:p>
    <w:p>
      <w:pPr>
        <w:ind w:firstLine="420"/>
        <w:keepLines/>
        <w:keepNext/>
        <w:spacing w:line="360" w:lineRule="auto"/>
        <w:rPr>
          <w:rFonts w:hint="eastAsia" w:ascii="仿宋" w:hAnsi="仿宋" w:eastAsia="仿宋" w:cs="仿宋"/>
          <w:sz w:val="24"/>
          <w:szCs w:val="24"/>
          <w:highlight w:val="white"/>
        </w:rPr>
        <w:outlineLvl w:val="3"/>
      </w:pPr>
      <w:r/>
      <w:bookmarkStart w:id="110" w:name="_Toc14577360"/>
      <w:r/>
      <w:bookmarkStart w:id="111" w:name="_Toc49090511"/>
      <w:r>
        <w:rPr>
          <w:rFonts w:hint="eastAsia" w:ascii="仿宋" w:hAnsi="仿宋" w:eastAsia="仿宋" w:cs="仿宋"/>
          <w:sz w:val="24"/>
          <w:szCs w:val="24"/>
          <w:highlight w:val="white"/>
        </w:rPr>
        <w:t xml:space="preserve">15、磋商有效期</w:t>
      </w:r>
      <w:bookmarkEnd w:id="110"/>
      <w:r/>
      <w:bookmarkEnd w:id="111"/>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15.1 磋商有效期为磋商代理规定的提交响应文件截止之日后</w:t>
      </w:r>
      <w:r>
        <w:rPr>
          <w:rFonts w:hint="eastAsia" w:ascii="仿宋" w:hAnsi="仿宋" w:eastAsia="仿宋" w:cs="仿宋"/>
          <w:sz w:val="24"/>
          <w:szCs w:val="24"/>
          <w:highlight w:val="white"/>
          <w:lang w:val="zh-CN"/>
        </w:rPr>
        <w:t xml:space="preserve">六十天</w:t>
      </w:r>
      <w:r>
        <w:rPr>
          <w:rFonts w:hint="eastAsia" w:ascii="仿宋" w:hAnsi="仿宋" w:eastAsia="仿宋" w:cs="仿宋"/>
          <w:sz w:val="24"/>
          <w:szCs w:val="24"/>
          <w:highlight w:val="white"/>
        </w:rPr>
        <w:t xml:space="preserve">。磋商有效期比规定短的将被视为非实质性响应磋商文件而予以拒绝。</w:t>
      </w:r>
      <w:r/>
    </w:p>
    <w:p>
      <w:pPr>
        <w:ind w:firstLine="420"/>
        <w:keepLines/>
        <w:keepNext/>
        <w:spacing w:line="360" w:lineRule="auto"/>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16、磋商有效期的延长</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16.1 在特殊情况下，磋商代理于原磋商有效期满之前，可向供应商提出延长磋商有效期的要求。这种要求与答复均应采用书面形式。供应商可以拒绝磋商代理的这一要求而放弃磋商，同意延长磋商有效期的供应商既不能要求也不允许修改其响应文件。受磋商有效期约束的所有权利与义务均延长至新的有效期。</w:t>
      </w:r>
      <w:bookmarkStart w:id="112" w:name="_Hlt26954852"/>
      <w:r/>
      <w:bookmarkStart w:id="113" w:name="_Hlt26954739"/>
      <w:r/>
      <w:bookmarkStart w:id="114" w:name="_Toc120614217"/>
      <w:r/>
      <w:bookmarkStart w:id="115" w:name="_Toc16938540"/>
      <w:r/>
      <w:bookmarkStart w:id="116" w:name="_Toc513029224"/>
      <w:r/>
      <w:bookmarkStart w:id="117" w:name="_Toc20823296"/>
      <w:r/>
      <w:bookmarkEnd w:id="112"/>
      <w:r/>
      <w:bookmarkEnd w:id="113"/>
      <w:r/>
      <w:r/>
    </w:p>
    <w:p>
      <w:pPr>
        <w:ind w:firstLine="498"/>
        <w:keepLines/>
        <w:keepNext/>
        <w:spacing w:before="145" w:after="145" w:line="360" w:lineRule="auto"/>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rPr>
        <w:t xml:space="preserve">四、响应文件的递交</w:t>
      </w:r>
      <w:bookmarkEnd w:id="114"/>
      <w:r/>
      <w:bookmarkEnd w:id="115"/>
      <w:r/>
      <w:bookmarkEnd w:id="116"/>
      <w:r/>
      <w:bookmarkEnd w:id="117"/>
      <w:r/>
      <w:r/>
    </w:p>
    <w:p>
      <w:pPr>
        <w:ind w:firstLine="420"/>
        <w:keepLines/>
        <w:keepNext/>
        <w:spacing w:line="360" w:lineRule="auto"/>
        <w:rPr>
          <w:rFonts w:hint="eastAsia" w:ascii="仿宋" w:hAnsi="仿宋" w:eastAsia="仿宋" w:cs="仿宋"/>
          <w:sz w:val="24"/>
          <w:szCs w:val="24"/>
          <w:highlight w:val="white"/>
        </w:rPr>
        <w:outlineLvl w:val="3"/>
      </w:pPr>
      <w:r/>
      <w:bookmarkStart w:id="118" w:name="_Toc513029225"/>
      <w:r/>
      <w:bookmarkStart w:id="119" w:name="_Toc20823297"/>
      <w:r/>
      <w:bookmarkStart w:id="120" w:name="_Toc462564084"/>
      <w:r/>
      <w:bookmarkStart w:id="121" w:name="_Toc16938541"/>
      <w:r>
        <w:rPr>
          <w:rFonts w:hint="eastAsia" w:ascii="仿宋" w:hAnsi="仿宋" w:eastAsia="仿宋" w:cs="仿宋"/>
          <w:sz w:val="24"/>
          <w:szCs w:val="24"/>
          <w:highlight w:val="white"/>
        </w:rPr>
        <w:t xml:space="preserve">17、磋商</w:t>
      </w:r>
      <w:bookmarkEnd w:id="118"/>
      <w:r/>
      <w:bookmarkEnd w:id="119"/>
      <w:r/>
      <w:bookmarkEnd w:id="120"/>
      <w:r/>
      <w:bookmarkEnd w:id="121"/>
      <w:r>
        <w:rPr>
          <w:rFonts w:hint="eastAsia" w:ascii="仿宋" w:hAnsi="仿宋" w:eastAsia="仿宋" w:cs="仿宋"/>
          <w:sz w:val="24"/>
          <w:szCs w:val="24"/>
          <w:highlight w:val="white"/>
        </w:rPr>
        <w:t xml:space="preserve">响应文件的递交</w:t>
      </w:r>
      <w:r/>
    </w:p>
    <w:p>
      <w:pPr>
        <w:ind w:firstLine="420"/>
        <w:spacing w:line="360" w:lineRule="auto"/>
        <w:rPr>
          <w:rFonts w:hint="eastAsia" w:ascii="仿宋" w:hAnsi="仿宋" w:eastAsia="仿宋" w:cs="仿宋"/>
          <w:sz w:val="24"/>
          <w:szCs w:val="24"/>
          <w:highlight w:val="white"/>
        </w:rPr>
      </w:pPr>
      <w:r/>
      <w:bookmarkStart w:id="122" w:name="_Toc16938542"/>
      <w:r/>
      <w:bookmarkStart w:id="123" w:name="_Toc20823298"/>
      <w:r/>
      <w:bookmarkStart w:id="124" w:name="_Toc513029226"/>
      <w:r>
        <w:rPr>
          <w:rFonts w:hint="eastAsia" w:ascii="仿宋" w:hAnsi="仿宋" w:eastAsia="仿宋" w:cs="仿宋"/>
          <w:sz w:val="24"/>
          <w:szCs w:val="24"/>
          <w:highlight w:val="white"/>
        </w:rPr>
        <w:t xml:space="preserve">17.1 供应商应当按照《操作手册》规定，在提交响应文件截止时间前制作并上传电子响应文件。</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17.3 磋商代理可以按照规定，通过修改磋商文件酌情延长提交响应文件截止日期，在此情况下，供应商的所有权利和义务均以延长后新的截止日期为准。</w:t>
      </w:r>
      <w:r/>
    </w:p>
    <w:p>
      <w:pPr>
        <w:ind w:firstLine="420"/>
        <w:keepLines/>
        <w:keepNext/>
        <w:spacing w:line="360" w:lineRule="auto"/>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18、提交响应文件截止时间</w:t>
      </w:r>
      <w:bookmarkEnd w:id="122"/>
      <w:r/>
      <w:bookmarkEnd w:id="123"/>
      <w:r/>
      <w:bookmarkEnd w:id="124"/>
      <w:r/>
      <w:r/>
    </w:p>
    <w:p>
      <w:pPr>
        <w:ind w:firstLine="420"/>
        <w:spacing w:line="360" w:lineRule="auto"/>
        <w:rPr>
          <w:rFonts w:hint="eastAsia" w:ascii="仿宋" w:hAnsi="仿宋" w:eastAsia="仿宋" w:cs="仿宋"/>
          <w:sz w:val="24"/>
          <w:szCs w:val="24"/>
          <w:highlight w:val="white"/>
        </w:rPr>
      </w:pPr>
      <w:r/>
      <w:bookmarkStart w:id="125" w:name="_Toc16938543"/>
      <w:r/>
      <w:bookmarkStart w:id="126" w:name="_Toc513029227"/>
      <w:r/>
      <w:bookmarkStart w:id="127" w:name="_Toc20823299"/>
      <w:r>
        <w:rPr>
          <w:rFonts w:hint="eastAsia" w:ascii="仿宋" w:hAnsi="仿宋" w:eastAsia="仿宋" w:cs="仿宋"/>
          <w:sz w:val="24"/>
          <w:szCs w:val="24"/>
          <w:highlight w:val="white"/>
        </w:rPr>
        <w:t xml:space="preserve">18.1 供应商递交响应文件的时间不得迟于磋商公告中规定的截止时间。</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供应商应充分考虑到交通拥堵、人为等风险因素，如因供应商自身原因造成的响应文件无法准时递交由供应商自行承担全部责任。</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18.2磋商代理可以按照规定，通过修改磋商文件酌情延长截止日期，在此情况下，供应商的所有权利和义务以及供应商受制的截止日期均应以延长后新的截止日期为准。</w:t>
      </w:r>
      <w:r/>
    </w:p>
    <w:p>
      <w:pPr>
        <w:ind w:firstLine="420"/>
        <w:keepLines/>
        <w:keepNext/>
        <w:spacing w:line="360" w:lineRule="auto"/>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19、响应文件</w:t>
      </w:r>
      <w:bookmarkEnd w:id="125"/>
      <w:r/>
      <w:bookmarkEnd w:id="126"/>
      <w:r/>
      <w:bookmarkEnd w:id="127"/>
      <w:r>
        <w:rPr>
          <w:rFonts w:hint="eastAsia" w:ascii="仿宋" w:hAnsi="仿宋" w:eastAsia="仿宋" w:cs="仿宋"/>
          <w:sz w:val="24"/>
          <w:szCs w:val="24"/>
          <w:highlight w:val="white"/>
        </w:rPr>
        <w:t xml:space="preserve">的拒收</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19.1 磋商代理拒绝接收提交响应文件截止时间后上传的任何电子响应文件。</w:t>
      </w:r>
      <w:r/>
    </w:p>
    <w:p>
      <w:pPr>
        <w:ind w:firstLine="420"/>
        <w:keepLines/>
        <w:keepNext/>
        <w:spacing w:line="360" w:lineRule="auto"/>
        <w:rPr>
          <w:rFonts w:hint="eastAsia" w:ascii="仿宋" w:hAnsi="仿宋" w:eastAsia="仿宋" w:cs="仿宋"/>
          <w:sz w:val="24"/>
          <w:szCs w:val="24"/>
          <w:highlight w:val="white"/>
        </w:rPr>
        <w:outlineLvl w:val="3"/>
      </w:pPr>
      <w:r/>
      <w:bookmarkStart w:id="128" w:name="_Toc513029228"/>
      <w:r/>
      <w:bookmarkStart w:id="129" w:name="_Toc16938544"/>
      <w:r/>
      <w:bookmarkStart w:id="130" w:name="_Toc20823300"/>
      <w:r>
        <w:rPr>
          <w:rFonts w:hint="eastAsia" w:ascii="仿宋" w:hAnsi="仿宋" w:eastAsia="仿宋" w:cs="仿宋"/>
          <w:sz w:val="24"/>
          <w:szCs w:val="24"/>
          <w:highlight w:val="white"/>
        </w:rPr>
        <w:t xml:space="preserve">20、响应文件的撤回和修改</w:t>
      </w:r>
      <w:bookmarkEnd w:id="128"/>
      <w:r/>
      <w:bookmarkEnd w:id="129"/>
      <w:r/>
      <w:bookmarkEnd w:id="130"/>
      <w:r/>
      <w:r/>
    </w:p>
    <w:p>
      <w:pPr>
        <w:ind w:firstLine="420"/>
        <w:spacing w:line="360" w:lineRule="auto"/>
        <w:rPr>
          <w:rFonts w:hint="eastAsia" w:ascii="仿宋" w:hAnsi="仿宋" w:eastAsia="仿宋" w:cs="仿宋"/>
          <w:sz w:val="24"/>
          <w:szCs w:val="24"/>
          <w:highlight w:val="white"/>
        </w:rPr>
      </w:pPr>
      <w:r/>
      <w:bookmarkStart w:id="131" w:name="_Toc20823301"/>
      <w:r/>
      <w:bookmarkStart w:id="132" w:name="_Toc120614218"/>
      <w:r/>
      <w:bookmarkStart w:id="133" w:name="_Toc16938545"/>
      <w:r/>
      <w:bookmarkStart w:id="134" w:name="_Toc513029229"/>
      <w:r>
        <w:rPr>
          <w:rFonts w:hint="eastAsia" w:ascii="仿宋" w:hAnsi="仿宋" w:eastAsia="仿宋" w:cs="仿宋"/>
          <w:sz w:val="24"/>
          <w:szCs w:val="24"/>
          <w:highlight w:val="white"/>
        </w:rPr>
        <w:t xml:space="preserve">20.1 响应文件的撤回</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20.1.1 响应文件的撤回</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供应商可在提交响应文件截止时间前，撤回其电子响应文件，具体操作方法见《操作手册》。</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20.1.2 供应商撤回响应文件，则认为其不再参与本项采购活动。</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20.2 响应文件的修改</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供应商可在提交响应文件截止时间前，对其电子响应文件进行修改，具体操作方法见《操作手册》。</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20.3在响应文件提交截止时间之后，供应商不得对其响应文件作任何修改。</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20.4在响应文件提交截止时间至磋商文件中规定的响应文件有效期满之间的这段时间内，供应商不得撤回其响应文件。</w:t>
      </w:r>
      <w:r/>
    </w:p>
    <w:p>
      <w:pPr>
        <w:ind w:firstLine="498"/>
        <w:keepLines/>
        <w:keepNext/>
        <w:spacing w:before="145" w:after="145" w:line="360" w:lineRule="auto"/>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rPr>
        <w:t xml:space="preserve">五、</w:t>
      </w:r>
      <w:bookmarkEnd w:id="131"/>
      <w:r/>
      <w:bookmarkEnd w:id="132"/>
      <w:r/>
      <w:bookmarkEnd w:id="133"/>
      <w:r/>
      <w:bookmarkEnd w:id="134"/>
      <w:r>
        <w:rPr>
          <w:rFonts w:hint="eastAsia" w:ascii="仿宋" w:hAnsi="仿宋" w:eastAsia="仿宋" w:cs="仿宋"/>
          <w:b/>
          <w:bCs/>
          <w:sz w:val="24"/>
          <w:szCs w:val="24"/>
          <w:highlight w:val="white"/>
        </w:rPr>
        <w:t xml:space="preserve">响应文件的解密与评审</w:t>
      </w:r>
      <w:r/>
    </w:p>
    <w:p>
      <w:pPr>
        <w:pStyle w:val="808"/>
        <w:ind w:firstLine="422"/>
        <w:spacing w:before="0" w:after="0" w:line="360" w:lineRule="auto"/>
        <w:rPr>
          <w:rFonts w:hint="eastAsia" w:ascii="仿宋" w:hAnsi="仿宋" w:eastAsia="仿宋" w:cs="仿宋"/>
          <w:b w:val="0"/>
          <w:bCs w:val="0"/>
          <w:sz w:val="24"/>
          <w:szCs w:val="24"/>
          <w:highlight w:val="white"/>
        </w:rPr>
      </w:pPr>
      <w:r/>
      <w:bookmarkStart w:id="135" w:name="_Toc16938546"/>
      <w:r/>
      <w:bookmarkStart w:id="136" w:name="_Toc20823302"/>
      <w:r/>
      <w:bookmarkStart w:id="137" w:name="_Toc513029230"/>
      <w:r>
        <w:rPr>
          <w:rFonts w:hint="eastAsia" w:ascii="仿宋" w:hAnsi="仿宋" w:eastAsia="仿宋" w:cs="仿宋"/>
          <w:b w:val="0"/>
          <w:bCs w:val="0"/>
          <w:sz w:val="24"/>
          <w:szCs w:val="24"/>
          <w:highlight w:val="white"/>
        </w:rPr>
        <w:t xml:space="preserve">2</w:t>
      </w:r>
      <w:bookmarkEnd w:id="135"/>
      <w:r/>
      <w:bookmarkEnd w:id="136"/>
      <w:r/>
      <w:bookmarkEnd w:id="137"/>
      <w:r>
        <w:rPr>
          <w:rFonts w:hint="eastAsia" w:ascii="仿宋" w:hAnsi="仿宋" w:eastAsia="仿宋" w:cs="仿宋"/>
          <w:b w:val="0"/>
          <w:bCs w:val="0"/>
          <w:sz w:val="24"/>
          <w:szCs w:val="24"/>
          <w:highlight w:val="white"/>
        </w:rPr>
        <w:t xml:space="preserve">1.响应文件解密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21.1 供应商应当按照《操作手册》规定，在苏采云系统规定的时间内对磋商响应文件进行解密。</w:t>
      </w:r>
      <w:r/>
    </w:p>
    <w:p>
      <w:pPr>
        <w:pStyle w:val="808"/>
        <w:ind w:firstLine="422"/>
        <w:spacing w:before="0" w:after="0" w:line="360" w:lineRule="auto"/>
        <w:rPr>
          <w:rFonts w:hint="eastAsia" w:ascii="仿宋" w:hAnsi="仿宋" w:eastAsia="仿宋" w:cs="仿宋"/>
          <w:b w:val="0"/>
          <w:bCs w:val="0"/>
          <w:sz w:val="24"/>
          <w:szCs w:val="24"/>
          <w:highlight w:val="white"/>
        </w:rPr>
      </w:pPr>
      <w:r/>
      <w:bookmarkStart w:id="138" w:name="_Toc513029231"/>
      <w:r/>
      <w:bookmarkStart w:id="139" w:name="_Toc16938547"/>
      <w:r/>
      <w:bookmarkStart w:id="140" w:name="_Toc20823303"/>
      <w:r>
        <w:rPr>
          <w:rFonts w:hint="eastAsia" w:ascii="仿宋" w:hAnsi="仿宋" w:eastAsia="仿宋" w:cs="仿宋"/>
          <w:b w:val="0"/>
          <w:bCs w:val="0"/>
          <w:sz w:val="24"/>
          <w:szCs w:val="24"/>
          <w:highlight w:val="white"/>
        </w:rPr>
        <w:t xml:space="preserve">22.磋商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22.1 磋商代理将组织磋商小组对响应文件进行评审。</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22.2 磋商小组由采购人代表和有关技术、经济等方面的专家组成，且人员构成符合政府采购有关规定。</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22.3 磋商小组独立工作，负责评审所有响应文件并推荐成交侯选人，或根据采购人授权直接确定成交供应商。</w:t>
      </w:r>
      <w:r/>
    </w:p>
    <w:p>
      <w:pPr>
        <w:pStyle w:val="808"/>
        <w:ind w:firstLine="422"/>
        <w:spacing w:before="0" w:after="0" w:line="360" w:lineRule="auto"/>
        <w:rPr>
          <w:rFonts w:hint="eastAsia" w:ascii="仿宋" w:hAnsi="仿宋" w:eastAsia="仿宋" w:cs="仿宋"/>
          <w:b w:val="0"/>
          <w:bCs w:val="0"/>
          <w:sz w:val="24"/>
          <w:szCs w:val="24"/>
          <w:highlight w:val="white"/>
        </w:rPr>
      </w:pPr>
      <w:r>
        <w:rPr>
          <w:rFonts w:hint="eastAsia" w:ascii="仿宋" w:hAnsi="仿宋" w:eastAsia="仿宋" w:cs="仿宋"/>
          <w:b w:val="0"/>
          <w:bCs w:val="0"/>
          <w:sz w:val="24"/>
          <w:szCs w:val="24"/>
          <w:highlight w:val="white"/>
        </w:rPr>
        <w:t xml:space="preserve">23.评审过程的保密与公正</w:t>
      </w:r>
      <w:bookmarkEnd w:id="138"/>
      <w:r/>
      <w:bookmarkEnd w:id="139"/>
      <w:r/>
      <w:bookmarkEnd w:id="140"/>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23.1 磋商小组、采购人和磋商代理工作人员、相关监督人员等与评审工作有关的人员，对评审情况以及在评审过程中获悉的国家秘密、商业秘密负有保密责任。</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23.2 在评审过程中，供应商不得以任何行为影响磋商评审过程，否则其响应文件将被作为无效响应文件。</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23.3 磋商代理和磋商小组不向未成交的供应商解释未成交原因，也不公布评审过程中的相关细节。</w:t>
      </w:r>
      <w:r/>
    </w:p>
    <w:p>
      <w:pPr>
        <w:pStyle w:val="808"/>
        <w:ind w:firstLine="422"/>
        <w:spacing w:before="0" w:after="0" w:line="360" w:lineRule="auto"/>
        <w:rPr>
          <w:rFonts w:hint="eastAsia" w:ascii="仿宋" w:hAnsi="仿宋" w:eastAsia="仿宋" w:cs="仿宋"/>
          <w:b w:val="0"/>
          <w:bCs w:val="0"/>
          <w:sz w:val="24"/>
          <w:szCs w:val="24"/>
          <w:highlight w:val="white"/>
        </w:rPr>
      </w:pPr>
      <w:r/>
      <w:bookmarkStart w:id="141" w:name="_Toc20823304"/>
      <w:r/>
      <w:bookmarkStart w:id="142" w:name="_Toc513029232"/>
      <w:r/>
      <w:bookmarkStart w:id="143" w:name="_Toc16938548"/>
      <w:r>
        <w:rPr>
          <w:rFonts w:hint="eastAsia" w:ascii="仿宋" w:hAnsi="仿宋" w:eastAsia="仿宋" w:cs="仿宋"/>
          <w:b w:val="0"/>
          <w:bCs w:val="0"/>
          <w:sz w:val="24"/>
          <w:szCs w:val="24"/>
          <w:highlight w:val="white"/>
        </w:rPr>
        <w:t xml:space="preserve">24.评审过程中的澄清</w:t>
      </w:r>
      <w:bookmarkEnd w:id="141"/>
      <w:r/>
      <w:bookmarkEnd w:id="142"/>
      <w:r/>
      <w:bookmarkEnd w:id="143"/>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供应商的澄清、说明或者更正不得超出响应文件的范围或者改变响应文件的实质性内容。</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磋商小组并非对每个供应商都作澄清要求。</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24.2 需要供应商进行澄清、说明和补正的，磋商小组将通过苏采云系统向供应商发布</w:t>
      </w:r>
      <w:r>
        <w:rPr>
          <w:rFonts w:hint="eastAsia" w:ascii="仿宋" w:hAnsi="仿宋" w:eastAsia="仿宋" w:cs="仿宋"/>
          <w:sz w:val="24"/>
          <w:szCs w:val="24"/>
          <w:highlight w:val="white"/>
          <w:lang w:val="zh-CN"/>
        </w:rPr>
        <w:t xml:space="preserve">《澄清要求函》</w:t>
      </w:r>
      <w:r>
        <w:rPr>
          <w:rFonts w:hint="eastAsia" w:ascii="仿宋" w:hAnsi="仿宋" w:eastAsia="仿宋" w:cs="仿宋"/>
          <w:sz w:val="24"/>
          <w:szCs w:val="24"/>
          <w:highlight w:val="white"/>
        </w:rPr>
        <w:t xml:space="preserve">，接到</w:t>
      </w:r>
      <w:r>
        <w:rPr>
          <w:rFonts w:hint="eastAsia" w:ascii="仿宋" w:hAnsi="仿宋" w:eastAsia="仿宋" w:cs="仿宋"/>
          <w:sz w:val="24"/>
          <w:szCs w:val="24"/>
          <w:highlight w:val="white"/>
          <w:lang w:val="zh-CN"/>
        </w:rPr>
        <w:t xml:space="preserve">《澄清要求函》</w:t>
      </w:r>
      <w:r>
        <w:rPr>
          <w:rFonts w:hint="eastAsia" w:ascii="仿宋" w:hAnsi="仿宋" w:eastAsia="仿宋" w:cs="仿宋"/>
          <w:sz w:val="24"/>
          <w:szCs w:val="24"/>
          <w:highlight w:val="white"/>
        </w:rPr>
        <w:t xml:space="preserve">的供应商应当按照要求在苏采云系统中提交</w:t>
      </w:r>
      <w:r>
        <w:rPr>
          <w:rFonts w:hint="eastAsia" w:ascii="仿宋" w:hAnsi="仿宋" w:eastAsia="仿宋" w:cs="仿宋"/>
          <w:sz w:val="24"/>
          <w:szCs w:val="24"/>
          <w:highlight w:val="white"/>
          <w:lang w:val="zh-CN"/>
        </w:rPr>
        <w:t xml:space="preserve">《澄清要求函》</w:t>
      </w:r>
      <w:r>
        <w:rPr>
          <w:rFonts w:hint="eastAsia" w:ascii="仿宋" w:hAnsi="仿宋" w:eastAsia="仿宋" w:cs="仿宋"/>
          <w:sz w:val="24"/>
          <w:szCs w:val="24"/>
          <w:highlight w:val="white"/>
        </w:rPr>
        <w:t xml:space="preserve">并加盖电子公章。澄清、说明和更正的内容作为响应文件的补充部分，具体操作方式见《操作手册》。</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24.3 接到磋商小组澄清、说明和更正要求的供应商如未按规定做出澄清、说明和更正，其风险由供应商自行承担。</w:t>
      </w:r>
      <w:r/>
    </w:p>
    <w:p>
      <w:pPr>
        <w:pStyle w:val="808"/>
        <w:ind w:firstLine="422"/>
        <w:spacing w:before="0" w:after="0" w:line="360" w:lineRule="auto"/>
        <w:rPr>
          <w:rFonts w:hint="eastAsia" w:ascii="仿宋" w:hAnsi="仿宋" w:eastAsia="仿宋" w:cs="仿宋"/>
          <w:b w:val="0"/>
          <w:bCs w:val="0"/>
          <w:sz w:val="24"/>
          <w:szCs w:val="24"/>
          <w:highlight w:val="white"/>
        </w:rPr>
      </w:pPr>
      <w:r/>
      <w:bookmarkStart w:id="144" w:name="_Toc513029233"/>
      <w:r/>
      <w:bookmarkStart w:id="145" w:name="_Toc16938549"/>
      <w:r/>
      <w:bookmarkStart w:id="146" w:name="_Toc20823305"/>
      <w:r>
        <w:rPr>
          <w:rFonts w:hint="eastAsia" w:ascii="仿宋" w:hAnsi="仿宋" w:eastAsia="仿宋" w:cs="仿宋"/>
          <w:b w:val="0"/>
          <w:bCs w:val="0"/>
          <w:sz w:val="24"/>
          <w:szCs w:val="24"/>
          <w:highlight w:val="white"/>
        </w:rPr>
        <w:t xml:space="preserve">25.响应文件的审</w:t>
      </w:r>
      <w:bookmarkEnd w:id="144"/>
      <w:r/>
      <w:bookmarkEnd w:id="145"/>
      <w:r/>
      <w:bookmarkEnd w:id="146"/>
      <w:r>
        <w:rPr>
          <w:rFonts w:hint="eastAsia" w:ascii="仿宋" w:hAnsi="仿宋" w:eastAsia="仿宋" w:cs="仿宋"/>
          <w:b w:val="0"/>
          <w:bCs w:val="0"/>
          <w:sz w:val="24"/>
          <w:szCs w:val="24"/>
          <w:highlight w:val="white"/>
        </w:rPr>
        <w:t xml:space="preserve">查</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25.1 响应文件审查分为资格审查和符合性审查。</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25.1.1 资格审查。依据法律法规和磋商文件的规定，对响应文件中的资格证明文件进行审查，以确定供应商是否具备参加磋商的资格。</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25.1.3 未通过资格审查或符合性审查的供应商，磋商小组将在苏采云系统中告知具体原</w:t>
      </w:r>
      <w:r>
        <w:rPr>
          <w:rFonts w:hint="eastAsia" w:ascii="仿宋" w:hAnsi="仿宋" w:eastAsia="仿宋" w:cs="仿宋"/>
          <w:sz w:val="24"/>
          <w:szCs w:val="24"/>
          <w:highlight w:val="white"/>
        </w:rPr>
        <w:t xml:space="preserve">因，评审结束后磋商小组将不再告知未通过资格审查或符合性审查的原因。</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 未实质性响应磋商文件的情形</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25.3.1 供应商在苏采云系统规定的时间内未成功解密电子响应文件的。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25.3.2 供应商未按照磋商文件要求上传电子响应文件的。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25.3.3 同一供应商提交两个（含两个）以上不同的响应文件或者最后报价的。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25.3.4 供应商不具备磋商文件中规定资格要求的。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25.3.5 供应商的最后报价超过了采购预算或最高限价的。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25.3.6 不符合磋商文件中规定的实质性要求和条件的（</w:t>
      </w:r>
      <w:r>
        <w:rPr>
          <w:rFonts w:hint="eastAsia" w:ascii="仿宋" w:hAnsi="仿宋" w:eastAsia="仿宋" w:cs="仿宋"/>
          <w:b/>
          <w:bCs/>
          <w:sz w:val="24"/>
          <w:szCs w:val="24"/>
          <w:highlight w:val="white"/>
        </w:rPr>
        <w:t xml:space="preserve">本磋商文件中斜体且有下划线部分</w:t>
      </w:r>
      <w:r>
        <w:rPr>
          <w:rFonts w:hint="eastAsia" w:ascii="仿宋" w:hAnsi="仿宋" w:eastAsia="仿宋" w:cs="仿宋"/>
          <w:b/>
          <w:bCs/>
          <w:sz w:val="24"/>
          <w:szCs w:val="24"/>
          <w:highlight w:val="white"/>
          <w:lang w:val="zh-CN"/>
        </w:rPr>
        <w:t xml:space="preserve">或者打“</w:t>
      </w:r>
      <w:r>
        <w:rPr>
          <w:rFonts w:hint="eastAsia" w:ascii="仿宋" w:hAnsi="仿宋" w:eastAsia="仿宋" w:cs="仿宋"/>
          <w:b/>
          <w:bCs/>
          <w:sz w:val="24"/>
          <w:szCs w:val="24"/>
          <w:highlight w:val="white"/>
        </w:rPr>
        <w:t xml:space="preserve">★</w:t>
      </w:r>
      <w:r>
        <w:rPr>
          <w:rFonts w:hint="eastAsia" w:ascii="仿宋" w:hAnsi="仿宋" w:eastAsia="仿宋" w:cs="仿宋"/>
          <w:b/>
          <w:bCs/>
          <w:sz w:val="24"/>
          <w:szCs w:val="24"/>
          <w:highlight w:val="white"/>
          <w:lang w:val="zh-CN"/>
        </w:rPr>
        <w:t xml:space="preserve">”内容，</w:t>
      </w:r>
      <w:r>
        <w:rPr>
          <w:rFonts w:hint="eastAsia" w:ascii="仿宋" w:hAnsi="仿宋" w:eastAsia="仿宋" w:cs="仿宋"/>
          <w:b/>
          <w:bCs/>
          <w:sz w:val="24"/>
          <w:szCs w:val="24"/>
          <w:highlight w:val="white"/>
        </w:rPr>
        <w:t xml:space="preserve">为实质性要求和条件</w:t>
      </w:r>
      <w:r>
        <w:rPr>
          <w:rFonts w:hint="eastAsia" w:ascii="仿宋" w:hAnsi="仿宋" w:eastAsia="仿宋" w:cs="仿宋"/>
          <w:sz w:val="24"/>
          <w:szCs w:val="24"/>
          <w:highlight w:val="white"/>
        </w:rPr>
        <w:t xml:space="preserve">）。</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25.3.8 响应文件含有采购人不能接受的附加条件的。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25.3.10 响应文件未按照磋商文件要求加盖电子公章的。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25.3.11 法律法规及本磋商文件规定的其他无效响应的情形。</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25.4 未实质性响应磋商文件的响应文件按无效响应处理。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25.5 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仿宋" w:hAnsi="仿宋" w:eastAsia="仿宋" w:cs="仿宋"/>
          <w:sz w:val="24"/>
          <w:szCs w:val="24"/>
          <w:highlight w:val="white"/>
        </w:rPr>
      </w:pPr>
      <w:r/>
      <w:bookmarkStart w:id="147" w:name="_Toc16938550"/>
      <w:r/>
      <w:bookmarkStart w:id="148" w:name="_Toc20823306"/>
      <w:r/>
      <w:bookmarkStart w:id="149" w:name="_Toc513029234"/>
      <w:r>
        <w:rPr>
          <w:rFonts w:hint="eastAsia" w:ascii="仿宋" w:hAnsi="仿宋" w:eastAsia="仿宋" w:cs="仿宋"/>
          <w:sz w:val="24"/>
          <w:szCs w:val="24"/>
          <w:highlight w:val="white"/>
        </w:rPr>
        <w:t xml:space="preserve">25.6 供应商在项目评审全过程中应保持通讯畅通，并安排专人与磋商代理及磋商小组联系。</w:t>
      </w:r>
      <w:r/>
    </w:p>
    <w:p>
      <w:pPr>
        <w:pStyle w:val="808"/>
        <w:ind w:firstLine="422"/>
        <w:spacing w:before="0" w:after="0" w:line="360" w:lineRule="auto"/>
        <w:rPr>
          <w:rFonts w:hint="eastAsia" w:ascii="仿宋" w:hAnsi="仿宋" w:eastAsia="仿宋" w:cs="仿宋"/>
          <w:b w:val="0"/>
          <w:bCs w:val="0"/>
          <w:sz w:val="24"/>
          <w:szCs w:val="24"/>
          <w:highlight w:val="white"/>
        </w:rPr>
      </w:pPr>
      <w:r>
        <w:rPr>
          <w:rFonts w:hint="eastAsia" w:ascii="仿宋" w:hAnsi="仿宋" w:eastAsia="仿宋" w:cs="仿宋"/>
          <w:b w:val="0"/>
          <w:bCs w:val="0"/>
          <w:sz w:val="24"/>
          <w:szCs w:val="24"/>
          <w:highlight w:val="white"/>
        </w:rPr>
        <w:t xml:space="preserve">2</w:t>
      </w:r>
      <w:bookmarkEnd w:id="147"/>
      <w:r/>
      <w:bookmarkEnd w:id="148"/>
      <w:r/>
      <w:bookmarkEnd w:id="149"/>
      <w:r>
        <w:rPr>
          <w:rFonts w:hint="eastAsia" w:ascii="仿宋" w:hAnsi="仿宋" w:eastAsia="仿宋" w:cs="仿宋"/>
          <w:b w:val="0"/>
          <w:bCs w:val="0"/>
          <w:sz w:val="24"/>
          <w:szCs w:val="24"/>
          <w:highlight w:val="white"/>
        </w:rPr>
        <w:t xml:space="preserve">6.磋商程序及评审方法和评审标准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26.1 磋商程序</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26.2 评审方法和评审标准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26.2.1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w:t>
      </w:r>
      <w:r>
        <w:rPr>
          <w:rFonts w:hint="eastAsia" w:ascii="仿宋" w:hAnsi="仿宋" w:eastAsia="仿宋" w:cs="仿宋"/>
          <w:sz w:val="24"/>
          <w:szCs w:val="24"/>
          <w:highlight w:val="white"/>
        </w:rPr>
        <w:t xml:space="preserve">独立对每个有效响应的文件进行评价、打分，然后汇总每个供应商每项评分因素的得分。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26.2.2 评审标准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见本磋商文件第五章规定。</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26.3 采购活动终止的情况</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出现下列情形之一的，本次竞争性磋商采购活动将被终止：</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26.3.1 因情况变化，不再符合规定的竞争性磋商采购方式适用情形的。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26.3.2 出现影响采购公正的违法、违规行为的。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26.3.3 除本磋商文件第二章第25.1.2条第三款规定的情形外，在采购过程中符合要求的供应商或者最后报价未超过采购预算的供应商不足3家的。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26.3.4 在苏采云系统规定时间内成功解密电子响应文件的供应商不足3家的。</w:t>
      </w:r>
      <w:r/>
    </w:p>
    <w:p>
      <w:pPr>
        <w:ind w:firstLine="281"/>
        <w:keepLines/>
        <w:keepNext/>
        <w:spacing w:before="145" w:after="145" w:line="360" w:lineRule="auto"/>
        <w:rPr>
          <w:rFonts w:hint="eastAsia" w:ascii="仿宋" w:hAnsi="仿宋" w:eastAsia="仿宋" w:cs="仿宋"/>
          <w:b/>
          <w:bCs/>
          <w:sz w:val="24"/>
          <w:szCs w:val="24"/>
          <w:highlight w:val="white"/>
        </w:rPr>
        <w:outlineLvl w:val="2"/>
      </w:pPr>
      <w:r/>
      <w:bookmarkStart w:id="150" w:name="_Toc20823307"/>
      <w:r/>
      <w:bookmarkStart w:id="151" w:name="_Toc16938551"/>
      <w:r/>
      <w:bookmarkStart w:id="152" w:name="_Toc513029235"/>
      <w:r/>
      <w:bookmarkStart w:id="153" w:name="_Toc120614219"/>
      <w:r>
        <w:rPr>
          <w:rFonts w:hint="eastAsia" w:ascii="仿宋" w:hAnsi="仿宋" w:eastAsia="仿宋" w:cs="仿宋"/>
          <w:b/>
          <w:bCs/>
          <w:sz w:val="24"/>
          <w:szCs w:val="24"/>
          <w:highlight w:val="white"/>
        </w:rPr>
        <w:t xml:space="preserve">六、</w:t>
      </w:r>
      <w:bookmarkEnd w:id="150"/>
      <w:r/>
      <w:bookmarkEnd w:id="151"/>
      <w:r/>
      <w:bookmarkEnd w:id="152"/>
      <w:r/>
      <w:bookmarkEnd w:id="153"/>
      <w:r>
        <w:rPr>
          <w:rFonts w:hint="eastAsia" w:ascii="仿宋" w:hAnsi="仿宋" w:eastAsia="仿宋" w:cs="仿宋"/>
          <w:b/>
          <w:bCs/>
          <w:sz w:val="24"/>
          <w:szCs w:val="24"/>
          <w:highlight w:val="white"/>
        </w:rPr>
        <w:t xml:space="preserve">成交</w:t>
      </w:r>
      <w:r/>
    </w:p>
    <w:p>
      <w:pPr>
        <w:ind w:firstLine="420"/>
        <w:keepLines/>
        <w:keepNext/>
        <w:spacing w:line="360" w:lineRule="auto"/>
        <w:rPr>
          <w:rFonts w:hint="eastAsia" w:ascii="仿宋" w:hAnsi="仿宋" w:eastAsia="仿宋" w:cs="仿宋"/>
          <w:sz w:val="24"/>
          <w:szCs w:val="24"/>
          <w:highlight w:val="white"/>
        </w:rPr>
        <w:outlineLvl w:val="3"/>
      </w:pPr>
      <w:r/>
      <w:bookmarkStart w:id="154" w:name="_Toc513029238"/>
      <w:r/>
      <w:bookmarkStart w:id="155" w:name="_Toc20823310"/>
      <w:r/>
      <w:bookmarkStart w:id="156" w:name="_Toc16938554"/>
      <w:r>
        <w:rPr>
          <w:rFonts w:hint="eastAsia" w:ascii="仿宋" w:hAnsi="仿宋" w:eastAsia="仿宋" w:cs="仿宋"/>
          <w:sz w:val="24"/>
          <w:szCs w:val="24"/>
          <w:highlight w:val="white"/>
        </w:rPr>
        <w:t xml:space="preserve">27、</w:t>
      </w:r>
      <w:bookmarkEnd w:id="154"/>
      <w:r>
        <w:rPr>
          <w:rFonts w:hint="eastAsia" w:ascii="仿宋" w:hAnsi="仿宋" w:eastAsia="仿宋" w:cs="仿宋"/>
          <w:sz w:val="24"/>
          <w:szCs w:val="24"/>
          <w:highlight w:val="white"/>
        </w:rPr>
        <w:t xml:space="preserve">确定</w:t>
      </w:r>
      <w:bookmarkEnd w:id="155"/>
      <w:r/>
      <w:bookmarkEnd w:id="156"/>
      <w:r>
        <w:rPr>
          <w:rFonts w:hint="eastAsia" w:ascii="仿宋" w:hAnsi="仿宋" w:eastAsia="仿宋" w:cs="仿宋"/>
          <w:sz w:val="24"/>
          <w:szCs w:val="24"/>
          <w:highlight w:val="white"/>
        </w:rPr>
        <w:t xml:space="preserve">成交单位</w:t>
      </w:r>
      <w:r/>
    </w:p>
    <w:p>
      <w:pPr>
        <w:ind w:firstLine="420"/>
        <w:spacing w:line="360" w:lineRule="auto"/>
        <w:rPr>
          <w:rFonts w:hint="eastAsia" w:ascii="仿宋" w:hAnsi="仿宋" w:eastAsia="仿宋" w:cs="仿宋"/>
          <w:sz w:val="24"/>
          <w:szCs w:val="24"/>
          <w:highlight w:val="white"/>
        </w:rPr>
      </w:pPr>
      <w:r/>
      <w:bookmarkStart w:id="157" w:name="_Toc200451960"/>
      <w:r>
        <w:rPr>
          <w:rFonts w:hint="eastAsia" w:ascii="仿宋" w:hAnsi="仿宋" w:eastAsia="仿宋" w:cs="仿宋"/>
          <w:sz w:val="24"/>
          <w:szCs w:val="24"/>
          <w:highlight w:val="white"/>
        </w:rPr>
        <w:t xml:space="preserve">27.1 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第五章 评审方法与评审标准”确定的顺序推荐。</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27.2 </w:t>
      </w:r>
      <w:r>
        <w:rPr>
          <w:rFonts w:hint="eastAsia" w:ascii="仿宋" w:hAnsi="仿宋" w:eastAsia="仿宋" w:cs="仿宋"/>
          <w:sz w:val="24"/>
          <w:szCs w:val="24"/>
          <w:highlight w:val="white"/>
          <w:lang w:val="zh-CN"/>
        </w:rPr>
        <w:t xml:space="preserve">按以下第（</w:t>
      </w:r>
      <w:r>
        <w:rPr>
          <w:rFonts w:hint="eastAsia" w:ascii="仿宋" w:hAnsi="仿宋" w:eastAsia="仿宋" w:cs="仿宋"/>
          <w:sz w:val="24"/>
          <w:szCs w:val="24"/>
          <w:highlight w:val="white"/>
        </w:rPr>
        <w:t xml:space="preserve">1</w:t>
      </w:r>
      <w:r>
        <w:rPr>
          <w:rFonts w:hint="eastAsia" w:ascii="仿宋" w:hAnsi="仿宋" w:eastAsia="仿宋" w:cs="仿宋"/>
          <w:sz w:val="24"/>
          <w:szCs w:val="24"/>
          <w:highlight w:val="white"/>
          <w:lang w:val="zh-CN"/>
        </w:rPr>
        <w:t xml:space="preserve">）种方式确定</w:t>
      </w:r>
      <w:r>
        <w:rPr>
          <w:rFonts w:hint="eastAsia" w:ascii="仿宋" w:hAnsi="仿宋" w:eastAsia="仿宋" w:cs="仿宋"/>
          <w:sz w:val="24"/>
          <w:szCs w:val="24"/>
          <w:highlight w:val="white"/>
        </w:rPr>
        <w:t xml:space="preserve">成交供应商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（1）</w:t>
      </w:r>
      <w:r>
        <w:rPr>
          <w:rFonts w:hint="eastAsia" w:ascii="仿宋" w:hAnsi="仿宋" w:eastAsia="仿宋" w:cs="仿宋"/>
          <w:sz w:val="24"/>
          <w:szCs w:val="24"/>
          <w:highlight w:val="white"/>
        </w:rPr>
        <w:t xml:space="preserve">磋商小组</w:t>
      </w:r>
      <w:r>
        <w:rPr>
          <w:rFonts w:hint="eastAsia" w:ascii="仿宋" w:hAnsi="仿宋" w:eastAsia="仿宋" w:cs="仿宋"/>
          <w:sz w:val="24"/>
          <w:szCs w:val="24"/>
          <w:highlight w:val="white"/>
          <w:lang w:val="zh-CN"/>
        </w:rPr>
        <w:t xml:space="preserve">直接确定排名第一的</w:t>
      </w:r>
      <w:r>
        <w:rPr>
          <w:rFonts w:hint="eastAsia" w:ascii="仿宋" w:hAnsi="仿宋" w:eastAsia="仿宋" w:cs="仿宋"/>
          <w:sz w:val="24"/>
          <w:szCs w:val="24"/>
          <w:highlight w:val="white"/>
        </w:rPr>
        <w:t xml:space="preserve">成交候选供应商</w:t>
      </w:r>
      <w:r>
        <w:rPr>
          <w:rFonts w:hint="eastAsia" w:ascii="仿宋" w:hAnsi="仿宋" w:eastAsia="仿宋" w:cs="仿宋"/>
          <w:sz w:val="24"/>
          <w:szCs w:val="24"/>
          <w:highlight w:val="white"/>
          <w:lang w:val="zh-CN"/>
        </w:rPr>
        <w:t xml:space="preserve">为</w:t>
      </w:r>
      <w:r>
        <w:rPr>
          <w:rFonts w:hint="eastAsia" w:ascii="仿宋" w:hAnsi="仿宋" w:eastAsia="仿宋" w:cs="仿宋"/>
          <w:sz w:val="24"/>
          <w:szCs w:val="24"/>
          <w:highlight w:val="white"/>
        </w:rPr>
        <w:t xml:space="preserve">成交供应商</w:t>
      </w:r>
      <w:r>
        <w:rPr>
          <w:rFonts w:hint="eastAsia" w:ascii="仿宋" w:hAnsi="仿宋" w:eastAsia="仿宋" w:cs="仿宋"/>
          <w:sz w:val="24"/>
          <w:szCs w:val="24"/>
          <w:highlight w:val="white"/>
          <w:lang w:val="zh-CN"/>
        </w:rPr>
        <w:t xml:space="preserve">；</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（2）采购人在</w:t>
      </w:r>
      <w:r>
        <w:rPr>
          <w:rFonts w:hint="eastAsia" w:ascii="仿宋" w:hAnsi="仿宋" w:eastAsia="仿宋" w:cs="仿宋"/>
          <w:sz w:val="24"/>
          <w:szCs w:val="24"/>
          <w:highlight w:val="white"/>
        </w:rPr>
        <w:t xml:space="preserve">磋商小组</w:t>
      </w:r>
      <w:r>
        <w:rPr>
          <w:rFonts w:hint="eastAsia" w:ascii="仿宋" w:hAnsi="仿宋" w:eastAsia="仿宋" w:cs="仿宋"/>
          <w:sz w:val="24"/>
          <w:szCs w:val="24"/>
          <w:highlight w:val="white"/>
          <w:lang w:val="zh-CN"/>
        </w:rPr>
        <w:t xml:space="preserve">推荐的</w:t>
      </w:r>
      <w:r>
        <w:rPr>
          <w:rFonts w:hint="eastAsia" w:ascii="仿宋" w:hAnsi="仿宋" w:eastAsia="仿宋" w:cs="仿宋"/>
          <w:sz w:val="24"/>
          <w:szCs w:val="24"/>
          <w:highlight w:val="white"/>
        </w:rPr>
        <w:t xml:space="preserve">成交候选供应商</w:t>
      </w:r>
      <w:r>
        <w:rPr>
          <w:rFonts w:hint="eastAsia" w:ascii="仿宋" w:hAnsi="仿宋" w:eastAsia="仿宋" w:cs="仿宋"/>
          <w:sz w:val="24"/>
          <w:szCs w:val="24"/>
          <w:highlight w:val="white"/>
          <w:lang w:val="zh-CN"/>
        </w:rPr>
        <w:t xml:space="preserve">中按顺序确定</w:t>
      </w:r>
      <w:r>
        <w:rPr>
          <w:rFonts w:hint="eastAsia" w:ascii="仿宋" w:hAnsi="仿宋" w:eastAsia="仿宋" w:cs="仿宋"/>
          <w:sz w:val="24"/>
          <w:szCs w:val="24"/>
          <w:highlight w:val="white"/>
        </w:rPr>
        <w:t xml:space="preserve">成交供应商</w:t>
      </w:r>
      <w:r>
        <w:rPr>
          <w:rFonts w:hint="eastAsia" w:ascii="仿宋" w:hAnsi="仿宋" w:eastAsia="仿宋" w:cs="仿宋"/>
          <w:sz w:val="24"/>
          <w:szCs w:val="24"/>
          <w:highlight w:val="white"/>
          <w:lang w:val="zh-CN"/>
        </w:rPr>
        <w:t xml:space="preserve">。</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zh-CN"/>
        </w:rPr>
        <w:t xml:space="preserve">按第二种方式确定</w:t>
      </w:r>
      <w:r>
        <w:rPr>
          <w:rFonts w:hint="eastAsia" w:ascii="仿宋" w:hAnsi="仿宋" w:eastAsia="仿宋" w:cs="仿宋"/>
          <w:sz w:val="24"/>
          <w:szCs w:val="24"/>
          <w:highlight w:val="white"/>
        </w:rPr>
        <w:t xml:space="preserve">成交供应商</w:t>
      </w:r>
      <w:r>
        <w:rPr>
          <w:rFonts w:hint="eastAsia" w:ascii="仿宋" w:hAnsi="仿宋" w:eastAsia="仿宋" w:cs="仿宋"/>
          <w:sz w:val="24"/>
          <w:szCs w:val="24"/>
          <w:highlight w:val="white"/>
          <w:lang w:val="zh-CN"/>
        </w:rPr>
        <w:t xml:space="preserve">的，磋商代理自评审结束之日起两个工作日内将评审报告送交采购人，采购人自收到评审报告之日起五个工作日内，在评审报告推荐的</w:t>
      </w:r>
      <w:r>
        <w:rPr>
          <w:rFonts w:hint="eastAsia" w:ascii="仿宋" w:hAnsi="仿宋" w:eastAsia="仿宋" w:cs="仿宋"/>
          <w:sz w:val="24"/>
          <w:szCs w:val="24"/>
          <w:highlight w:val="white"/>
        </w:rPr>
        <w:t xml:space="preserve">成交候选供应商</w:t>
      </w:r>
      <w:r>
        <w:rPr>
          <w:rFonts w:hint="eastAsia" w:ascii="仿宋" w:hAnsi="仿宋" w:eastAsia="仿宋" w:cs="仿宋"/>
          <w:sz w:val="24"/>
          <w:szCs w:val="24"/>
          <w:highlight w:val="white"/>
          <w:lang w:val="zh-CN"/>
        </w:rPr>
        <w:t xml:space="preserve">中按顺序确定</w:t>
      </w:r>
      <w:r>
        <w:rPr>
          <w:rFonts w:hint="eastAsia" w:ascii="仿宋" w:hAnsi="仿宋" w:eastAsia="仿宋" w:cs="仿宋"/>
          <w:sz w:val="24"/>
          <w:szCs w:val="24"/>
          <w:highlight w:val="white"/>
        </w:rPr>
        <w:t xml:space="preserve">成交供应商</w:t>
      </w:r>
      <w:r>
        <w:rPr>
          <w:rFonts w:hint="eastAsia" w:ascii="仿宋" w:hAnsi="仿宋" w:eastAsia="仿宋" w:cs="仿宋"/>
          <w:sz w:val="24"/>
          <w:szCs w:val="24"/>
          <w:highlight w:val="white"/>
          <w:lang w:val="zh-CN"/>
        </w:rPr>
        <w:t xml:space="preserve">。</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27.3 磋商代理将在“江苏政府采购网”发布成交结果公告，公告期限为1个工作日。</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27.4 </w:t>
      </w:r>
      <w:r>
        <w:rPr>
          <w:rFonts w:hint="eastAsia" w:ascii="仿宋" w:hAnsi="仿宋" w:eastAsia="仿宋" w:cs="仿宋"/>
          <w:b/>
          <w:bCs/>
          <w:sz w:val="24"/>
          <w:szCs w:val="24"/>
          <w:highlight w:val="white"/>
        </w:rPr>
        <w:t xml:space="preserve">若有充分证据证明，成交供应商出现下列情况之一的，一经查实，将被取消成交资格：</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27.4.1 提供虚假材料谋取成交的。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27.4.2 与评审专家、采购人、其他供应商或者磋商代理工作人员恶意串通的。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27.4.3 向评审专家、采购人或磋商代理工作人员行贿或者提供其他不正当利益的。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27.4.4 恶意竞争，最后报价明显低于其自身合理成本且又无法提供证明的。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27.4.5 不满足本磋商文件规定的实质性要求，但在评审过程中未被磋商小组发现的。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27.4.6 成交后无正当理由拒不与采购人签订政府采购合同或者未按照磋商文件确定的事项签订政府采购合同的。</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27.3.7 将政府采购合同转包的。</w:t>
      </w:r>
      <w:r/>
    </w:p>
    <w:p>
      <w:pPr>
        <w:ind w:firstLine="420"/>
        <w:keepLines/>
        <w:keepNext/>
        <w:spacing w:line="360" w:lineRule="auto"/>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28、质疑处理</w:t>
      </w:r>
      <w:bookmarkEnd w:id="157"/>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28.1 提出质疑的供应商应当是参与所质疑项目采购活动的供应商。潜在供应商依法获取其可质疑的采购文件的，可以对采购文件提出质疑。</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28.2 供应商认为采购文件、采购过程和采购结果使自己的权益受到损害的，可以在知道或应知其权益受到损害之日起七个工作日内，以书面形式根据下述28.4条款的规定向磋商代理或采购人提出质疑。上述应知其权益受到损害之日，是指：</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28.2.1对可以质疑的采购文件提出质疑的，为收到采购文件之日或者采购文件公告期限届满之日。</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28.2.2对采购过程提出质疑的，为各采购程序环节结束之日。</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28.2.3对成交结果提出质疑的，为成交结果公告期限届满之日。</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供应商应当在法定质疑期内一次性提出针对同一采购程序环节的质疑。供应商如在法定期限内对同一采购程序环节提出多次质疑的，磋商代理将只对供应商第一次质疑作出答复。</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28.4 供应商（含潜在供应商）对与本项目有关的所有询问、质疑均请向磋商代理提出，由磋商代理负责答复。</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磋商代理只接收以纸质原件形式送达的质疑,建议供应商尽量通过邮寄方式提交质疑（磋商代理不接受未填写快递运单的快件）。</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磋商代理质疑接收人及联系方式见本磋商文件第一章。</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28.5 以下情形的质疑不予受理</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28.5.1内容不符合《政府采购质疑和投诉办法》第十二条规定的质疑。</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28.5.2超出政府采购法定期限的质疑。</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28.5.3以传真、电子邮件等方式递交的非原件形式的质疑。</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28.5.4未参加磋商活动的供应商或在磋商活动中自身权益未受到损害的供应商所提出的质疑。</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28.5.5供应商组成联合体参加磋商，联合体中任何一方或多方未按要求签字、盖章、加盖公章的质疑。</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28.6.6 供应商提出书面质疑必须有理、有据，不得捏造事实、提供虚假材料进行恶意质疑。否则，一经查实，磋商代理有权依据政府采购的有关规定，报请政府采购监管部门对该供应商进行相应的行政处罚和记录该供应商的失信信息。</w:t>
      </w:r>
      <w:r/>
    </w:p>
    <w:p>
      <w:pPr>
        <w:ind w:firstLine="420"/>
        <w:keepLines/>
        <w:keepNext/>
        <w:spacing w:line="360" w:lineRule="auto"/>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29、成交通知书</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29.1 成交结果确定后，磋商代理将向成交供应商发出成交通知书。成交供应商可在成交结果公告届满之日起三十日内，登录苏采云系统下载。</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因系统存储空间有限，自成交结果公告届满之日起三十日后，苏采云系统不再保证提供下载《成交通知书》服务,因未及时下载而造成的不利后果由成交供应商自行承担。</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sz w:val="24"/>
          <w:szCs w:val="24"/>
          <w:highlight w:val="white"/>
        </w:rPr>
        <w:outlineLvl w:val="2"/>
      </w:pPr>
      <w:r/>
      <w:bookmarkStart w:id="158" w:name="_Toc16938552"/>
      <w:r/>
      <w:bookmarkStart w:id="159" w:name="_Toc513029236"/>
      <w:r/>
      <w:bookmarkStart w:id="160" w:name="_Toc20823308"/>
      <w:r/>
      <w:bookmarkStart w:id="161" w:name="_Toc120614220"/>
      <w:r>
        <w:rPr>
          <w:rFonts w:hint="eastAsia" w:ascii="仿宋" w:hAnsi="仿宋" w:eastAsia="仿宋" w:cs="仿宋"/>
          <w:b/>
          <w:bCs/>
          <w:sz w:val="24"/>
          <w:szCs w:val="24"/>
          <w:highlight w:val="white"/>
        </w:rPr>
        <w:t xml:space="preserve">七、授予合同</w:t>
      </w:r>
      <w:bookmarkEnd w:id="158"/>
      <w:r/>
      <w:bookmarkEnd w:id="159"/>
      <w:r/>
      <w:bookmarkEnd w:id="160"/>
      <w:r/>
      <w:bookmarkEnd w:id="161"/>
      <w:r/>
      <w:r/>
    </w:p>
    <w:p>
      <w:pPr>
        <w:ind w:firstLine="420"/>
        <w:keepLines/>
        <w:keepNext/>
        <w:spacing w:line="360" w:lineRule="auto"/>
        <w:rPr>
          <w:rFonts w:hint="eastAsia" w:ascii="仿宋" w:hAnsi="仿宋" w:eastAsia="仿宋" w:cs="仿宋"/>
          <w:sz w:val="24"/>
          <w:szCs w:val="24"/>
          <w:highlight w:val="white"/>
        </w:rPr>
        <w:outlineLvl w:val="3"/>
      </w:pPr>
      <w:r/>
      <w:bookmarkStart w:id="162" w:name="_Toc513029237"/>
      <w:r/>
      <w:bookmarkStart w:id="163" w:name="_Toc16938553"/>
      <w:r/>
      <w:bookmarkStart w:id="164" w:name="_Toc20823309"/>
      <w:r>
        <w:rPr>
          <w:rFonts w:hint="eastAsia" w:ascii="仿宋" w:hAnsi="仿宋" w:eastAsia="仿宋" w:cs="仿宋"/>
          <w:sz w:val="24"/>
          <w:szCs w:val="24"/>
          <w:highlight w:val="white"/>
        </w:rPr>
        <w:t xml:space="preserve">30. 签订合同</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30.l 成交供应商应当在成交通知书发出之日起三十日内，按照磋商文件确定的事项与采购人签订政府采购合同。</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30.2 磋商文件、成交供应商的响应文件及磋商过程中有关澄清、承诺文件均应作为合同附件。</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30.4 成交供应商因自身原因拒绝与采购人签订合同的，一年内不得参加采购人开展的所有政府采购活动。</w:t>
      </w:r>
      <w:r/>
    </w:p>
    <w:p>
      <w:pPr>
        <w:ind w:firstLine="420"/>
        <w:keepLines/>
        <w:keepNext/>
        <w:spacing w:line="360" w:lineRule="auto"/>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31、标的物的追加</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pStyle w:val="808"/>
        <w:ind w:firstLine="422"/>
        <w:spacing w:before="0" w:after="0" w:line="360" w:lineRule="auto"/>
        <w:rPr>
          <w:rFonts w:hint="eastAsia" w:ascii="仿宋" w:hAnsi="仿宋" w:eastAsia="仿宋" w:cs="仿宋"/>
          <w:b w:val="0"/>
          <w:bCs w:val="0"/>
          <w:sz w:val="24"/>
          <w:szCs w:val="24"/>
          <w:highlight w:val="white"/>
        </w:rPr>
      </w:pPr>
      <w:r/>
      <w:bookmarkStart w:id="165" w:name="_Toc20823314"/>
      <w:r/>
      <w:bookmarkStart w:id="166" w:name="_Toc16938558"/>
      <w:r/>
      <w:bookmarkStart w:id="167" w:name="_Toc479757207"/>
      <w:r/>
      <w:bookmarkStart w:id="168" w:name="_Toc513029242"/>
      <w:r/>
      <w:bookmarkStart w:id="169" w:name="_Toc120614221"/>
      <w:r>
        <w:rPr>
          <w:rFonts w:hint="eastAsia" w:ascii="仿宋" w:hAnsi="仿宋" w:eastAsia="仿宋" w:cs="仿宋"/>
          <w:b w:val="0"/>
          <w:bCs w:val="0"/>
          <w:sz w:val="24"/>
          <w:szCs w:val="24"/>
          <w:highlight w:val="white"/>
        </w:rPr>
        <w:t xml:space="preserve">32.政府采购履约资金扶持政策</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32.1 成交供应商通过</w:t>
      </w:r>
      <w:r>
        <w:rPr>
          <w:rFonts w:hint="eastAsia" w:ascii="仿宋" w:hAnsi="仿宋" w:eastAsia="仿宋" w:cs="仿宋"/>
          <w:sz w:val="24"/>
          <w:szCs w:val="24"/>
          <w:highlight w:val="white"/>
          <w:lang w:val="zh-CN"/>
        </w:rPr>
        <w:t xml:space="preserve">南京市公共资源交易中心网站“小企业融资平台”，</w:t>
      </w:r>
      <w:r>
        <w:rPr>
          <w:rFonts w:hint="eastAsia" w:ascii="仿宋" w:hAnsi="仿宋" w:eastAsia="仿宋" w:cs="仿宋"/>
          <w:sz w:val="24"/>
          <w:szCs w:val="24"/>
          <w:highlight w:val="white"/>
        </w:rPr>
        <w:t xml:space="preserve">选择相应的金融机构</w:t>
      </w:r>
      <w:r>
        <w:rPr>
          <w:rFonts w:hint="eastAsia" w:ascii="仿宋" w:hAnsi="仿宋" w:eastAsia="仿宋" w:cs="仿宋"/>
          <w:sz w:val="24"/>
          <w:szCs w:val="24"/>
          <w:highlight w:val="white"/>
          <w:lang w:val="zh-CN"/>
        </w:rPr>
        <w:t xml:space="preserve">办理融资贷款。</w:t>
      </w:r>
      <w:r/>
    </w:p>
    <w:p>
      <w:pPr>
        <w:ind w:firstLine="420"/>
        <w:jc w:val="left"/>
        <w:spacing w:line="360" w:lineRule="auto"/>
        <w:rPr>
          <w:rFonts w:hint="eastAsia" w:ascii="仿宋" w:hAnsi="仿宋" w:eastAsia="仿宋" w:cs="仿宋"/>
          <w:sz w:val="24"/>
          <w:szCs w:val="24"/>
          <w:highlight w:val="white"/>
          <w:lang w:val="zh-CN"/>
        </w:rPr>
      </w:pPr>
      <w:r>
        <w:rPr>
          <w:rFonts w:hint="eastAsia" w:ascii="仿宋" w:hAnsi="仿宋" w:eastAsia="仿宋" w:cs="仿宋"/>
          <w:sz w:val="24"/>
          <w:szCs w:val="24"/>
          <w:highlight w:val="white"/>
        </w:rPr>
        <w:t xml:space="preserve">32.2 依据《关于在全省政府采购领域推行电子履约保函（保险）的通知》（苏财购〔2023〕150号），成交供应商</w:t>
      </w:r>
      <w:r>
        <w:rPr>
          <w:rFonts w:hint="eastAsia" w:ascii="仿宋" w:hAnsi="仿宋" w:eastAsia="仿宋" w:cs="仿宋"/>
          <w:sz w:val="24"/>
          <w:szCs w:val="24"/>
          <w:highlight w:val="white"/>
          <w:lang w:val="zh-CN"/>
        </w:rPr>
        <w:t xml:space="preserve">可</w:t>
      </w:r>
      <w:r>
        <w:rPr>
          <w:rFonts w:hint="eastAsia" w:ascii="仿宋" w:hAnsi="仿宋" w:eastAsia="仿宋" w:cs="仿宋"/>
          <w:sz w:val="24"/>
          <w:szCs w:val="24"/>
          <w:highlight w:val="white"/>
        </w:rPr>
        <w:t xml:space="preserve">通过江苏政府采购网“政府采购电子履约保函（保险）综合服务平台”线上办理履约保函（保险）</w:t>
      </w:r>
      <w:r>
        <w:rPr>
          <w:rFonts w:hint="eastAsia" w:ascii="仿宋" w:hAnsi="仿宋" w:eastAsia="仿宋" w:cs="仿宋"/>
          <w:sz w:val="24"/>
          <w:szCs w:val="24"/>
          <w:highlight w:val="white"/>
          <w:lang w:val="zh-CN"/>
        </w:rPr>
        <w:t xml:space="preserve">。</w:t>
      </w:r>
      <w:r/>
    </w:p>
    <w:p>
      <w:pPr>
        <w:ind w:firstLine="420"/>
        <w:jc w:val="center"/>
        <w:spacing w:line="360" w:lineRule="auto"/>
        <w:rPr>
          <w:rFonts w:hint="eastAsia" w:ascii="仿宋" w:hAnsi="仿宋" w:eastAsia="仿宋" w:cs="仿宋"/>
          <w:sz w:val="24"/>
          <w:szCs w:val="24"/>
          <w:highlight w:val="white"/>
          <w:lang w:val="zh-CN"/>
        </w:rPr>
      </w:pPr>
      <w:r>
        <w:rPr>
          <w:rFonts w:hint="eastAsia" w:ascii="仿宋" w:hAnsi="仿宋" w:eastAsia="仿宋" w:cs="仿宋"/>
          <w:sz w:val="24"/>
          <w:szCs w:val="24"/>
          <w:highlight w:val="white"/>
          <w:lang w:val="zh-CN"/>
        </w:rPr>
      </w:r>
      <w:r/>
    </w:p>
    <w:p>
      <w:pPr>
        <w:ind w:firstLine="420"/>
        <w:jc w:val="center"/>
        <w:spacing w:line="360" w:lineRule="auto"/>
        <w:rPr>
          <w:rFonts w:hint="eastAsia" w:ascii="宋体" w:hAnsi="宋体" w:cs="仿宋"/>
          <w:b/>
          <w:bCs/>
          <w:sz w:val="24"/>
          <w:szCs w:val="24"/>
        </w:rPr>
      </w:pPr>
      <w:r>
        <w:rPr>
          <w:rFonts w:hint="eastAsia" w:ascii="仿宋" w:hAnsi="仿宋" w:eastAsia="仿宋" w:cs="仿宋"/>
          <w:bCs/>
          <w:sz w:val="24"/>
          <w:szCs w:val="24"/>
          <w:highlight w:val="white"/>
        </w:rPr>
        <w:br w:type="page" w:clear="all"/>
      </w:r>
      <w:bookmarkEnd w:id="165"/>
      <w:r/>
      <w:bookmarkEnd w:id="166"/>
      <w:r/>
      <w:bookmarkEnd w:id="167"/>
      <w:r/>
      <w:bookmarkEnd w:id="168"/>
      <w:r/>
      <w:bookmarkEnd w:id="169"/>
      <w:r>
        <w:rPr>
          <w:rFonts w:hint="eastAsia" w:ascii="宋体" w:hAnsi="宋体" w:cs="仿宋"/>
          <w:b/>
          <w:bCs/>
          <w:sz w:val="24"/>
          <w:szCs w:val="24"/>
        </w:rPr>
        <w:t xml:space="preserve">第三章  合同文本</w:t>
      </w:r>
      <w:r/>
    </w:p>
    <w:p>
      <w:pPr>
        <w:ind w:firstLine="480"/>
        <w:spacing w:line="360" w:lineRule="auto"/>
        <w:rPr>
          <w:rFonts w:hint="eastAsia" w:ascii="宋体" w:hAnsi="宋体" w:cs="仿宋"/>
          <w:bCs/>
          <w:sz w:val="24"/>
          <w:szCs w:val="24"/>
        </w:rPr>
      </w:pPr>
      <w:r/>
      <w:bookmarkStart w:id="170" w:name="_Hlt16619369"/>
      <w:r/>
      <w:bookmarkStart w:id="171" w:name="_Toc16938559"/>
      <w:r/>
      <w:bookmarkStart w:id="172" w:name="_Toc513029243"/>
      <w:r/>
      <w:bookmarkStart w:id="173" w:name="_Toc20823315"/>
      <w:r/>
      <w:bookmarkEnd w:id="170"/>
      <w:r>
        <w:rPr>
          <w:rFonts w:hint="eastAsia" w:ascii="宋体" w:hAnsi="宋体" w:cs="仿宋"/>
          <w:bCs/>
          <w:sz w:val="24"/>
          <w:szCs w:val="24"/>
        </w:rPr>
        <w:t xml:space="preserve">以下为成交后签定本项目合同的通用条款，供应商不得提出实质性的修改。</w:t>
      </w:r>
      <w:r/>
    </w:p>
    <w:p>
      <w:pPr>
        <w:ind w:firstLine="640"/>
        <w:jc w:val="center"/>
        <w:spacing w:line="360" w:lineRule="auto"/>
        <w:rPr>
          <w:rFonts w:hint="eastAsia" w:ascii="宋体" w:hAnsi="宋体" w:cs="宋体"/>
          <w:sz w:val="32"/>
          <w:szCs w:val="32"/>
        </w:rPr>
      </w:pPr>
      <w:r/>
      <w:bookmarkStart w:id="174" w:name="_Toc28829_WPSOffice_Level2"/>
      <w:r/>
      <w:bookmarkEnd w:id="171"/>
      <w:r/>
      <w:bookmarkEnd w:id="172"/>
      <w:r/>
      <w:bookmarkEnd w:id="173"/>
      <w:r>
        <w:rPr>
          <w:rFonts w:hint="eastAsia" w:ascii="宋体" w:hAnsi="宋体" w:cs="宋体"/>
          <w:sz w:val="32"/>
          <w:szCs w:val="32"/>
        </w:rPr>
        <w:t xml:space="preserve">政府采购合同</w:t>
      </w:r>
      <w:bookmarkEnd w:id="174"/>
      <w:r/>
      <w:r/>
    </w:p>
    <w:p>
      <w:pPr>
        <w:ind w:firstLine="482"/>
        <w:spacing w:line="360" w:lineRule="auto"/>
        <w:rPr>
          <w:rFonts w:hint="eastAsia" w:ascii="宋体" w:hAnsi="宋体" w:cs="宋体"/>
          <w:b/>
          <w:sz w:val="24"/>
          <w:szCs w:val="20"/>
        </w:rPr>
      </w:pPr>
      <w:r>
        <w:rPr>
          <w:rFonts w:hint="eastAsia" w:ascii="宋体" w:hAnsi="宋体" w:cs="宋体"/>
          <w:b/>
          <w:sz w:val="24"/>
          <w:szCs w:val="20"/>
        </w:rPr>
        <w:t xml:space="preserve">            </w:t>
      </w:r>
      <w:r>
        <w:rPr>
          <w:rFonts w:hint="eastAsia" w:ascii="宋体" w:hAnsi="宋体" w:cs="宋体"/>
          <w:sz w:val="24"/>
          <w:szCs w:val="20"/>
        </w:rPr>
        <w:t xml:space="preserve">  </w:t>
      </w:r>
      <w:r/>
    </w:p>
    <w:p>
      <w:pPr>
        <w:ind w:firstLine="482"/>
        <w:spacing w:line="360" w:lineRule="auto"/>
        <w:rPr>
          <w:rFonts w:hint="eastAsia" w:ascii="宋体" w:hAnsi="宋体" w:cs="宋体"/>
          <w:b/>
          <w:sz w:val="24"/>
          <w:szCs w:val="20"/>
        </w:rPr>
      </w:pPr>
      <w:r>
        <w:rPr>
          <w:rFonts w:hint="eastAsia" w:ascii="宋体" w:hAnsi="宋体" w:cs="宋体"/>
          <w:b/>
          <w:sz w:val="24"/>
          <w:szCs w:val="20"/>
        </w:rPr>
      </w:r>
      <w:r/>
    </w:p>
    <w:p>
      <w:pPr>
        <w:keepLines/>
        <w:keepNext/>
        <w:spacing w:before="280" w:after="290" w:line="360" w:lineRule="auto"/>
        <w:rPr>
          <w:rFonts w:hint="eastAsia" w:ascii="宋体" w:hAnsi="宋体" w:cs="宋体"/>
          <w:b/>
          <w:sz w:val="24"/>
          <w:szCs w:val="20"/>
        </w:rPr>
        <w:outlineLvl w:val="3"/>
      </w:pPr>
      <w:r>
        <w:rPr>
          <w:rFonts w:hint="eastAsia" w:ascii="宋体" w:hAnsi="宋体" w:cs="宋体"/>
          <w:b/>
          <w:sz w:val="24"/>
          <w:szCs w:val="20"/>
        </w:rPr>
      </w:r>
      <w:r/>
    </w:p>
    <w:p>
      <w:pPr>
        <w:ind w:firstLine="420"/>
        <w:spacing w:after="120"/>
        <w:rPr>
          <w:rFonts w:hint="eastAsia" w:ascii="宋体" w:hAnsi="宋体" w:cs="宋体"/>
          <w:b/>
          <w:sz w:val="24"/>
          <w:szCs w:val="20"/>
        </w:rPr>
      </w:pPr>
      <w:r>
        <w:rPr>
          <w:rFonts w:hint="eastAsia" w:ascii="宋体" w:hAnsi="宋体" w:cs="宋体"/>
          <w:b/>
          <w:sz w:val="24"/>
          <w:szCs w:val="20"/>
        </w:rPr>
      </w:r>
      <w:r/>
    </w:p>
    <w:p>
      <w:pPr>
        <w:rPr>
          <w:szCs w:val="20"/>
        </w:rPr>
      </w:pPr>
      <w:r>
        <w:rPr>
          <w:szCs w:val="20"/>
        </w:rPr>
      </w:r>
      <w:r/>
    </w:p>
    <w:p>
      <w:pPr>
        <w:ind w:firstLine="420"/>
        <w:spacing w:after="120" w:line="360" w:lineRule="auto"/>
        <w:rPr>
          <w:rFonts w:hint="eastAsia" w:ascii="宋体" w:hAnsi="宋体" w:cs="宋体"/>
          <w:szCs w:val="20"/>
        </w:rPr>
      </w:pPr>
      <w:r>
        <w:rPr>
          <w:rFonts w:hint="eastAsia" w:ascii="宋体" w:hAnsi="宋体" w:cs="宋体"/>
          <w:szCs w:val="20"/>
        </w:rPr>
      </w:r>
      <w:r/>
    </w:p>
    <w:p>
      <w:pPr>
        <w:ind w:firstLine="482"/>
        <w:spacing w:line="360" w:lineRule="auto"/>
        <w:rPr>
          <w:rFonts w:hint="eastAsia" w:ascii="宋体" w:hAnsi="宋体" w:cs="宋体"/>
          <w:b/>
          <w:sz w:val="24"/>
          <w:szCs w:val="20"/>
        </w:rPr>
      </w:pPr>
      <w:r>
        <w:rPr>
          <w:rFonts w:hint="eastAsia" w:ascii="宋体" w:hAnsi="宋体" w:cs="宋体"/>
          <w:b/>
          <w:sz w:val="24"/>
          <w:szCs w:val="20"/>
        </w:rPr>
      </w:r>
      <w:r/>
    </w:p>
    <w:p>
      <w:pPr>
        <w:ind w:firstLine="1968"/>
        <w:spacing w:line="360" w:lineRule="auto"/>
        <w:rPr>
          <w:rFonts w:hint="eastAsia" w:ascii="宋体" w:hAnsi="宋体" w:cs="宋体"/>
          <w:b/>
          <w:sz w:val="28"/>
          <w:szCs w:val="21"/>
        </w:rPr>
      </w:pPr>
      <w:r>
        <w:rPr>
          <w:rFonts w:hint="eastAsia" w:ascii="宋体" w:hAnsi="宋体" w:cs="宋体"/>
          <w:b/>
          <w:sz w:val="28"/>
          <w:szCs w:val="21"/>
        </w:rPr>
        <w:t xml:space="preserve">合同编号 ：</w:t>
      </w:r>
      <w:r>
        <w:rPr>
          <w:rFonts w:hint="eastAsia" w:ascii="宋体" w:hAnsi="宋体" w:cs="宋体"/>
          <w:b/>
          <w:sz w:val="28"/>
          <w:szCs w:val="21"/>
          <w:u w:val="single"/>
        </w:rPr>
        <w:t xml:space="preserve">                    </w:t>
      </w:r>
      <w:r/>
    </w:p>
    <w:p>
      <w:pPr>
        <w:ind w:firstLine="1968"/>
        <w:spacing w:line="360" w:lineRule="auto"/>
        <w:rPr>
          <w:rFonts w:hint="eastAsia" w:ascii="宋体" w:hAnsi="宋体" w:cs="宋体"/>
          <w:b/>
          <w:sz w:val="28"/>
          <w:szCs w:val="21"/>
          <w:u w:val="single"/>
        </w:rPr>
      </w:pPr>
      <w:r>
        <w:rPr>
          <w:rFonts w:hint="eastAsia" w:ascii="宋体" w:hAnsi="宋体" w:cs="宋体"/>
          <w:b/>
          <w:sz w:val="28"/>
          <w:szCs w:val="21"/>
        </w:rPr>
        <w:t xml:space="preserve">项目名称 ：</w:t>
      </w:r>
      <w:r>
        <w:rPr>
          <w:rFonts w:hint="eastAsia" w:ascii="宋体" w:hAnsi="宋体" w:cs="宋体"/>
          <w:b/>
          <w:sz w:val="28"/>
          <w:szCs w:val="21"/>
          <w:u w:val="single"/>
        </w:rPr>
        <w:t xml:space="preserve">                    </w:t>
      </w:r>
      <w:r/>
    </w:p>
    <w:p>
      <w:pPr>
        <w:ind w:firstLine="1968"/>
        <w:spacing w:line="360" w:lineRule="auto"/>
        <w:rPr>
          <w:rFonts w:hint="eastAsia" w:ascii="宋体" w:hAnsi="宋体" w:cs="宋体"/>
          <w:b/>
          <w:sz w:val="28"/>
          <w:szCs w:val="21"/>
          <w:u w:val="single"/>
        </w:rPr>
      </w:pPr>
      <w:r>
        <w:rPr>
          <w:rFonts w:hint="eastAsia" w:ascii="宋体" w:hAnsi="宋体" w:cs="宋体"/>
          <w:b/>
          <w:sz w:val="28"/>
          <w:szCs w:val="21"/>
        </w:rPr>
        <w:t xml:space="preserve">采购单位 ：</w:t>
      </w:r>
      <w:r>
        <w:rPr>
          <w:rFonts w:hint="eastAsia" w:ascii="宋体" w:hAnsi="宋体" w:cs="宋体"/>
          <w:b/>
          <w:sz w:val="28"/>
          <w:szCs w:val="21"/>
          <w:u w:val="single"/>
        </w:rPr>
        <w:t xml:space="preserve">                    </w:t>
      </w:r>
      <w:r/>
    </w:p>
    <w:p>
      <w:pPr>
        <w:ind w:firstLine="1968"/>
        <w:spacing w:line="360" w:lineRule="auto"/>
        <w:rPr>
          <w:rFonts w:hint="eastAsia" w:ascii="宋体" w:hAnsi="宋体" w:cs="宋体"/>
          <w:b/>
          <w:sz w:val="28"/>
          <w:szCs w:val="21"/>
        </w:rPr>
      </w:pPr>
      <w:r>
        <w:rPr>
          <w:rFonts w:hint="eastAsia" w:ascii="宋体" w:hAnsi="宋体" w:cs="宋体"/>
          <w:b/>
          <w:sz w:val="28"/>
          <w:szCs w:val="21"/>
        </w:rPr>
        <w:t xml:space="preserve">供应商单位 ：</w:t>
      </w:r>
      <w:r>
        <w:rPr>
          <w:rFonts w:hint="eastAsia" w:ascii="宋体" w:hAnsi="宋体" w:cs="宋体"/>
          <w:b/>
          <w:sz w:val="28"/>
          <w:szCs w:val="21"/>
          <w:u w:val="single"/>
        </w:rPr>
        <w:t xml:space="preserve">                  </w:t>
      </w:r>
      <w:r/>
    </w:p>
    <w:p>
      <w:pPr>
        <w:ind w:firstLine="1968"/>
        <w:spacing w:line="360" w:lineRule="auto"/>
        <w:rPr>
          <w:rFonts w:hint="eastAsia" w:ascii="宋体" w:hAnsi="宋体" w:cs="宋体"/>
          <w:b/>
          <w:sz w:val="28"/>
          <w:szCs w:val="21"/>
        </w:rPr>
      </w:pPr>
      <w:r>
        <w:rPr>
          <w:rFonts w:hint="eastAsia" w:ascii="宋体" w:hAnsi="宋体" w:cs="宋体"/>
          <w:b/>
          <w:sz w:val="28"/>
          <w:szCs w:val="21"/>
        </w:rPr>
        <w:t xml:space="preserve">签订日期 ：</w:t>
      </w:r>
      <w:r>
        <w:rPr>
          <w:rFonts w:hint="eastAsia" w:ascii="宋体" w:hAnsi="宋体" w:cs="宋体"/>
          <w:b/>
          <w:sz w:val="28"/>
          <w:szCs w:val="21"/>
          <w:u w:val="single"/>
        </w:rPr>
        <w:t xml:space="preserve">                    </w:t>
      </w:r>
      <w:r/>
    </w:p>
    <w:p>
      <w:pPr>
        <w:ind w:firstLine="588"/>
        <w:spacing w:line="360" w:lineRule="auto"/>
        <w:rPr>
          <w:rFonts w:hint="eastAsia" w:ascii="宋体" w:hAnsi="宋体" w:cs="宋体"/>
          <w:sz w:val="28"/>
          <w:szCs w:val="21"/>
        </w:rPr>
      </w:pPr>
      <w:r>
        <w:rPr>
          <w:rFonts w:hint="eastAsia" w:ascii="宋体" w:hAnsi="宋体" w:cs="宋体"/>
          <w:sz w:val="28"/>
          <w:szCs w:val="21"/>
        </w:rPr>
        <w:t xml:space="preserve">       </w:t>
      </w:r>
      <w:r/>
    </w:p>
    <w:p>
      <w:pPr>
        <w:jc w:val="center"/>
        <w:spacing w:line="360" w:lineRule="auto"/>
        <w:rPr>
          <w:rFonts w:hint="eastAsia" w:ascii="宋体" w:hAnsi="宋体" w:cs="宋体"/>
          <w:b/>
          <w:color w:val="000000"/>
          <w:sz w:val="36"/>
          <w:szCs w:val="20"/>
        </w:rPr>
      </w:pPr>
      <w:r>
        <w:rPr>
          <w:rFonts w:hint="eastAsia" w:ascii="宋体" w:hAnsi="宋体" w:cs="宋体"/>
          <w:b/>
          <w:color w:val="000000"/>
          <w:sz w:val="36"/>
          <w:szCs w:val="20"/>
        </w:rPr>
      </w:r>
      <w:r/>
    </w:p>
    <w:p>
      <w:pPr>
        <w:jc w:val="center"/>
        <w:spacing w:line="360" w:lineRule="auto"/>
        <w:rPr>
          <w:rFonts w:hint="eastAsia" w:ascii="宋体" w:hAnsi="宋体" w:cs="宋体"/>
          <w:b/>
          <w:color w:val="000000"/>
          <w:sz w:val="36"/>
          <w:szCs w:val="20"/>
        </w:rPr>
      </w:pPr>
      <w:r>
        <w:rPr>
          <w:rFonts w:hint="eastAsia" w:ascii="宋体" w:hAnsi="宋体" w:cs="宋体"/>
          <w:b/>
          <w:color w:val="000000"/>
          <w:sz w:val="36"/>
          <w:szCs w:val="20"/>
        </w:rPr>
      </w:r>
      <w:r/>
    </w:p>
    <w:p>
      <w:pPr>
        <w:spacing w:after="120" w:line="360" w:lineRule="auto"/>
        <w:rPr>
          <w:rFonts w:hint="eastAsia" w:ascii="宋体" w:hAnsi="宋体" w:cs="宋体"/>
          <w:szCs w:val="20"/>
        </w:rPr>
      </w:pPr>
      <w:r>
        <w:rPr>
          <w:rFonts w:hint="eastAsia" w:ascii="宋体" w:hAnsi="宋体" w:cs="宋体"/>
          <w:szCs w:val="20"/>
        </w:rPr>
      </w:r>
      <w:r/>
    </w:p>
    <w:p>
      <w:pPr>
        <w:ind w:firstLine="2891"/>
        <w:spacing w:line="360" w:lineRule="auto"/>
        <w:rPr>
          <w:rFonts w:hint="eastAsia" w:ascii="宋体" w:hAnsi="宋体" w:cs="宋体"/>
          <w:b/>
          <w:color w:val="000000"/>
          <w:sz w:val="36"/>
          <w:szCs w:val="20"/>
        </w:rPr>
      </w:pPr>
      <w:r>
        <w:rPr>
          <w:rFonts w:hint="eastAsia" w:ascii="宋体" w:hAnsi="宋体" w:cs="宋体"/>
          <w:b/>
          <w:color w:val="000000"/>
          <w:sz w:val="36"/>
          <w:szCs w:val="20"/>
        </w:rPr>
        <w:t xml:space="preserve">南京市工商行政管理局</w:t>
      </w:r>
      <w:r/>
    </w:p>
    <w:p>
      <w:pPr>
        <w:jc w:val="center"/>
        <w:spacing w:line="360" w:lineRule="auto"/>
        <w:rPr>
          <w:rFonts w:hint="eastAsia" w:ascii="宋体" w:hAnsi="宋体" w:cs="宋体"/>
          <w:b/>
          <w:color w:val="000000"/>
          <w:sz w:val="36"/>
          <w:szCs w:val="20"/>
        </w:rPr>
      </w:pPr>
      <w:r>
        <w:rPr>
          <w:rFonts w:hint="eastAsia" w:ascii="宋体" w:hAnsi="宋体" w:cs="宋体"/>
          <w:b/>
          <w:color w:val="000000"/>
          <w:sz w:val="36"/>
          <w:szCs w:val="20"/>
        </w:rPr>
      </w:r>
      <w:r/>
    </w:p>
    <w:p>
      <w:pPr>
        <w:jc w:val="center"/>
        <w:spacing w:line="360" w:lineRule="auto"/>
        <w:rPr>
          <w:rFonts w:hint="eastAsia" w:ascii="宋体" w:hAnsi="宋体" w:cs="宋体"/>
          <w:sz w:val="28"/>
          <w:szCs w:val="28"/>
        </w:rPr>
      </w:pPr>
      <w:r>
        <w:rPr>
          <w:rFonts w:hint="eastAsia" w:ascii="宋体" w:hAnsi="宋体" w:cs="宋体"/>
          <w:b/>
          <w:color w:val="000000"/>
          <w:sz w:val="36"/>
          <w:szCs w:val="20"/>
        </w:rPr>
        <w:t xml:space="preserve">南 京 市 财 政 局  监制</w:t>
      </w:r>
      <w:r/>
    </w:p>
    <w:p>
      <w:pPr>
        <w:spacing w:line="360" w:lineRule="auto"/>
        <w:rPr>
          <w:rFonts w:hint="eastAsia" w:ascii="宋体" w:hAnsi="宋体" w:cs="宋体"/>
          <w:sz w:val="24"/>
          <w:szCs w:val="24"/>
          <w:lang w:val="zh-CN"/>
        </w:rPr>
      </w:pPr>
      <w:r>
        <w:rPr>
          <w:rFonts w:hint="eastAsia" w:ascii="宋体" w:hAnsi="宋体" w:cs="宋体"/>
          <w:b/>
          <w:sz w:val="24"/>
          <w:szCs w:val="20"/>
        </w:rPr>
        <w:br w:type="page" w:clear="all"/>
      </w:r>
      <w:r>
        <w:rPr>
          <w:rFonts w:hint="eastAsia" w:ascii="宋体" w:hAnsi="宋体" w:cs="宋体"/>
          <w:sz w:val="24"/>
          <w:szCs w:val="24"/>
          <w:lang w:val="zh-CN"/>
        </w:rPr>
        <w:t xml:space="preserve">合同编号：</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left"/>
              <w:spacing w:line="360" w:lineRule="auto"/>
              <w:rPr>
                <w:rFonts w:hint="eastAsia" w:ascii="宋体" w:hAnsi="宋体" w:cs="宋体"/>
                <w:sz w:val="24"/>
                <w:szCs w:val="20"/>
                <w:lang w:val="zh-CN"/>
              </w:rPr>
            </w:pPr>
            <w:r>
              <w:rPr>
                <w:rFonts w:hint="eastAsia" w:ascii="宋体" w:hAnsi="宋体" w:cs="宋体"/>
                <w:sz w:val="24"/>
                <w:szCs w:val="20"/>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left"/>
              <w:spacing w:line="360" w:lineRule="auto"/>
              <w:rPr>
                <w:rFonts w:hint="eastAsia" w:ascii="宋体" w:hAnsi="宋体" w:cs="宋体"/>
                <w:sz w:val="24"/>
                <w:szCs w:val="20"/>
                <w:lang w:val="zh-CN"/>
              </w:rPr>
            </w:pPr>
            <w:r>
              <w:rPr>
                <w:rFonts w:hint="eastAsia" w:ascii="宋体" w:hAnsi="宋体" w:cs="宋体"/>
                <w:sz w:val="24"/>
                <w:szCs w:val="20"/>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left"/>
              <w:spacing w:line="360" w:lineRule="auto"/>
              <w:rPr>
                <w:rFonts w:hint="eastAsia" w:ascii="宋体" w:hAnsi="宋体" w:cs="宋体"/>
                <w:sz w:val="24"/>
                <w:szCs w:val="20"/>
              </w:rPr>
            </w:pPr>
            <w:r>
              <w:rPr>
                <w:rFonts w:hint="eastAsia" w:ascii="宋体" w:hAnsi="宋体" w:cs="宋体"/>
                <w:sz w:val="24"/>
                <w:szCs w:val="20"/>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left"/>
              <w:spacing w:line="360" w:lineRule="auto"/>
              <w:rPr>
                <w:rFonts w:hint="eastAsia" w:ascii="宋体" w:hAnsi="宋体" w:cs="宋体"/>
                <w:sz w:val="24"/>
                <w:szCs w:val="20"/>
              </w:rPr>
            </w:pPr>
            <w:r>
              <w:rPr>
                <w:rFonts w:hint="eastAsia" w:ascii="宋体" w:hAnsi="宋体" w:cs="宋体"/>
                <w:sz w:val="24"/>
                <w:szCs w:val="20"/>
                <w:lang w:val="zh-CN"/>
              </w:rPr>
              <w:t xml:space="preserve">住所地</w:t>
            </w:r>
            <w:r/>
          </w:p>
        </w:tc>
      </w:tr>
    </w:tbl>
    <w:p>
      <w:pPr>
        <w:ind w:firstLine="480"/>
        <w:spacing w:line="360" w:lineRule="auto"/>
        <w:rPr>
          <w:color w:val="000000"/>
          <w:sz w:val="24"/>
          <w:szCs w:val="32"/>
        </w:rPr>
      </w:pPr>
      <w:r>
        <w:rPr>
          <w:color w:val="000000"/>
          <w:sz w:val="24"/>
          <w:szCs w:val="32"/>
        </w:rPr>
      </w:r>
      <w:r/>
    </w:p>
    <w:p>
      <w:pPr>
        <w:ind w:firstLine="480"/>
        <w:spacing w:line="360" w:lineRule="auto"/>
        <w:rPr>
          <w:color w:val="000000"/>
          <w:sz w:val="24"/>
          <w:szCs w:val="32"/>
        </w:rPr>
      </w:pPr>
      <w:r>
        <w:rPr>
          <w:rFonts w:hint="eastAsia"/>
          <w:color w:val="000000"/>
          <w:sz w:val="24"/>
          <w:szCs w:val="32"/>
        </w:rPr>
        <w:t xml:space="preserve">根据《中华人民共和国政府采购法》、《中华人民共和国政府采购法实施条例》及《中华人民共和国民法典》等法律法规的规定，甲乙双方签订本合同。</w:t>
      </w:r>
      <w:r/>
    </w:p>
    <w:p>
      <w:pPr>
        <w:ind w:firstLine="482"/>
        <w:spacing w:line="360" w:lineRule="auto"/>
        <w:rPr>
          <w:sz w:val="24"/>
          <w:szCs w:val="32"/>
        </w:rPr>
      </w:pPr>
      <w:r>
        <w:rPr>
          <w:rFonts w:hint="eastAsia"/>
          <w:b/>
          <w:bCs/>
          <w:color w:val="000000"/>
          <w:sz w:val="24"/>
          <w:szCs w:val="32"/>
        </w:rPr>
        <w:t xml:space="preserve">第一条合同标的</w:t>
      </w:r>
      <w:r>
        <w:rPr>
          <w:rFonts w:hint="eastAsia"/>
          <w:b/>
          <w:bCs/>
          <w:color w:val="000000"/>
          <w:sz w:val="24"/>
          <w:szCs w:val="32"/>
        </w:rPr>
        <w:t xml:space="preserve"> </w:t>
      </w:r>
      <w:r>
        <w:rPr>
          <w:rFonts w:hint="eastAsia"/>
          <w:color w:val="000000"/>
          <w:sz w:val="24"/>
          <w:szCs w:val="32"/>
        </w:rPr>
        <w:t xml:space="preserve">乙方根据甲方需求提供下列服务</w:t>
      </w:r>
      <w:r>
        <w:rPr>
          <w:rFonts w:hint="eastAsia"/>
          <w:color w:val="000000"/>
          <w:sz w:val="24"/>
          <w:szCs w:val="32"/>
          <w:u w:val="single"/>
        </w:rPr>
        <w:t xml:space="preserve">：</w:t>
      </w:r>
      <w:r>
        <w:rPr>
          <w:rFonts w:hint="eastAsia"/>
          <w:color w:val="000000"/>
          <w:sz w:val="24"/>
          <w:szCs w:val="32"/>
          <w:u w:val="single"/>
        </w:rPr>
        <w:t xml:space="preserve">     </w:t>
      </w:r>
      <w:r>
        <w:rPr>
          <w:rFonts w:hint="eastAsia"/>
          <w:b/>
          <w:sz w:val="24"/>
          <w:szCs w:val="32"/>
          <w:u w:val="single"/>
        </w:rPr>
        <w:t xml:space="preserve">（项目编号：</w:t>
      </w:r>
      <w:r>
        <w:rPr>
          <w:rFonts w:hint="eastAsia"/>
          <w:b/>
          <w:sz w:val="24"/>
          <w:szCs w:val="32"/>
          <w:u w:val="single"/>
        </w:rPr>
        <w:t xml:space="preserve">   </w:t>
      </w:r>
      <w:r>
        <w:rPr>
          <w:rFonts w:hint="eastAsia"/>
          <w:b/>
          <w:sz w:val="24"/>
          <w:szCs w:val="32"/>
          <w:u w:val="single"/>
        </w:rPr>
        <w:t xml:space="preserve">）</w:t>
      </w:r>
      <w:r>
        <w:rPr>
          <w:rFonts w:hint="eastAsia"/>
          <w:sz w:val="24"/>
          <w:szCs w:val="32"/>
        </w:rPr>
        <w:t xml:space="preserve">，详见乙方响应文件。</w:t>
      </w:r>
      <w:r/>
    </w:p>
    <w:p>
      <w:pPr>
        <w:ind w:firstLine="482"/>
        <w:spacing w:line="360" w:lineRule="auto"/>
        <w:rPr>
          <w:color w:val="000000"/>
          <w:sz w:val="24"/>
          <w:szCs w:val="32"/>
        </w:rPr>
      </w:pPr>
      <w:r>
        <w:rPr>
          <w:rFonts w:hint="eastAsia"/>
          <w:b/>
          <w:bCs/>
          <w:color w:val="000000"/>
          <w:sz w:val="24"/>
          <w:szCs w:val="32"/>
        </w:rPr>
        <w:t xml:space="preserve">第二条合同总价款</w:t>
      </w:r>
      <w:r>
        <w:rPr>
          <w:rFonts w:hint="eastAsia"/>
          <w:b/>
          <w:bCs/>
          <w:color w:val="000000"/>
          <w:sz w:val="24"/>
          <w:szCs w:val="32"/>
        </w:rPr>
        <w:t xml:space="preserve">  </w:t>
      </w:r>
      <w:r>
        <w:rPr>
          <w:rFonts w:hint="eastAsia"/>
          <w:color w:val="000000"/>
          <w:sz w:val="24"/>
          <w:szCs w:val="32"/>
        </w:rPr>
        <w:t xml:space="preserve">本合同项下项目总价款为</w:t>
      </w:r>
      <w:r>
        <w:rPr>
          <w:rFonts w:hint="eastAsia"/>
          <w:color w:val="000000"/>
          <w:sz w:val="24"/>
          <w:szCs w:val="32"/>
        </w:rPr>
        <w:t xml:space="preserve">___________</w:t>
      </w:r>
      <w:r>
        <w:rPr>
          <w:rFonts w:hint="eastAsia"/>
          <w:color w:val="000000"/>
          <w:sz w:val="24"/>
          <w:szCs w:val="32"/>
        </w:rPr>
        <w:t xml:space="preserve">（大写）人民币，分项价款在“</w:t>
      </w:r>
      <w:r>
        <w:rPr>
          <w:rFonts w:hint="eastAsia"/>
          <w:b/>
          <w:sz w:val="24"/>
          <w:szCs w:val="32"/>
        </w:rPr>
        <w:t xml:space="preserve">分项报价及费用测算表</w:t>
      </w:r>
      <w:r>
        <w:rPr>
          <w:rFonts w:hint="eastAsia"/>
          <w:color w:val="000000"/>
          <w:sz w:val="24"/>
          <w:szCs w:val="32"/>
        </w:rPr>
        <w:t xml:space="preserve">”中有明确规定；</w:t>
      </w:r>
      <w:r/>
    </w:p>
    <w:p>
      <w:pPr>
        <w:ind w:firstLine="482"/>
        <w:spacing w:line="360" w:lineRule="auto"/>
        <w:rPr>
          <w:b/>
          <w:sz w:val="24"/>
          <w:szCs w:val="32"/>
        </w:rPr>
      </w:pPr>
      <w:r>
        <w:rPr>
          <w:rFonts w:hint="eastAsia"/>
          <w:bCs/>
          <w:sz w:val="24"/>
          <w:szCs w:val="32"/>
        </w:rPr>
        <w:t xml:space="preserve">投标报价为全包交费用报价。最终投标报价应是本采购文件所包含确定的全部工作内容及本采购文件未说明但完成该项目必须包含的所有全包费用的价格体现</w:t>
      </w:r>
      <w:r>
        <w:rPr>
          <w:rFonts w:hint="eastAsia"/>
          <w:bCs/>
          <w:spacing w:val="-2"/>
          <w:sz w:val="24"/>
          <w:szCs w:val="32"/>
        </w:rPr>
        <w:t xml:space="preserve">。</w:t>
      </w:r>
      <w:r>
        <w:rPr>
          <w:rFonts w:hint="eastAsia"/>
          <w:bCs/>
          <w:sz w:val="24"/>
          <w:szCs w:val="32"/>
        </w:rPr>
        <w:t xml:space="preserve">投标最终报价应包含劳务、设备、管理、材料、运输装缷、保险、验收及验收合格之前保管的所有含税费用、支付给员工的工资和国家强制缴纳的各种社会保障资金等。投标供应商的任何错漏、优惠、竞争性报价不得作为减轻责任、减少服务、增加收费、降低质量的理由。投标供应商的任何错漏、优惠、竞争性报价不得作为减轻责任、减少服务、增加收费、降低质量的理由。</w:t>
      </w:r>
      <w:r/>
    </w:p>
    <w:p>
      <w:pPr>
        <w:ind w:firstLine="480"/>
        <w:spacing w:line="360" w:lineRule="auto"/>
        <w:rPr>
          <w:color w:val="000000"/>
          <w:sz w:val="24"/>
          <w:szCs w:val="32"/>
        </w:rPr>
      </w:pPr>
      <w:r>
        <w:rPr>
          <w:rFonts w:hint="eastAsia"/>
          <w:color w:val="000000"/>
          <w:sz w:val="24"/>
          <w:szCs w:val="32"/>
        </w:rPr>
        <w:t xml:space="preserve">本合同执行期间合同总价不变。</w:t>
      </w:r>
      <w:r/>
    </w:p>
    <w:p>
      <w:pPr>
        <w:ind w:firstLine="482"/>
        <w:spacing w:line="360" w:lineRule="auto"/>
        <w:rPr>
          <w:color w:val="000000"/>
          <w:sz w:val="24"/>
          <w:szCs w:val="32"/>
        </w:rPr>
      </w:pPr>
      <w:r>
        <w:rPr>
          <w:rFonts w:hint="eastAsia"/>
          <w:b/>
          <w:bCs/>
          <w:color w:val="000000"/>
          <w:sz w:val="24"/>
          <w:szCs w:val="32"/>
        </w:rPr>
        <w:t xml:space="preserve">第三条</w:t>
      </w:r>
      <w:r>
        <w:rPr>
          <w:rFonts w:hint="eastAsia"/>
          <w:b/>
          <w:bCs/>
          <w:color w:val="000000"/>
          <w:sz w:val="24"/>
          <w:szCs w:val="32"/>
        </w:rPr>
        <w:t xml:space="preserve"> </w:t>
      </w:r>
      <w:r>
        <w:rPr>
          <w:rFonts w:hint="eastAsia"/>
          <w:b/>
          <w:bCs/>
          <w:color w:val="000000"/>
          <w:sz w:val="24"/>
          <w:szCs w:val="32"/>
        </w:rPr>
        <w:t xml:space="preserve">组成本合同的有关文件</w:t>
      </w:r>
      <w:r>
        <w:rPr>
          <w:rFonts w:hint="eastAsia"/>
          <w:color w:val="000000"/>
          <w:sz w:val="24"/>
          <w:szCs w:val="32"/>
        </w:rPr>
        <w:t xml:space="preserve">下列关于</w:t>
      </w:r>
      <w:r>
        <w:rPr>
          <w:rFonts w:hint="eastAsia"/>
          <w:b/>
          <w:sz w:val="24"/>
          <w:szCs w:val="32"/>
          <w:u w:val="single"/>
        </w:rPr>
        <w:t xml:space="preserve">  </w:t>
      </w:r>
      <w:r>
        <w:rPr>
          <w:rFonts w:hint="eastAsia"/>
          <w:b/>
          <w:sz w:val="24"/>
          <w:szCs w:val="32"/>
          <w:u w:val="single"/>
        </w:rPr>
        <w:t xml:space="preserve">（项目编号：</w:t>
      </w:r>
      <w:r>
        <w:rPr>
          <w:rFonts w:hint="eastAsia"/>
          <w:b/>
          <w:sz w:val="24"/>
          <w:szCs w:val="32"/>
          <w:u w:val="single"/>
        </w:rPr>
        <w:t xml:space="preserve">          </w:t>
      </w:r>
      <w:r>
        <w:rPr>
          <w:rFonts w:hint="eastAsia"/>
          <w:b/>
          <w:sz w:val="24"/>
          <w:szCs w:val="32"/>
          <w:u w:val="single"/>
        </w:rPr>
        <w:t xml:space="preserve">）</w:t>
      </w:r>
      <w:r>
        <w:rPr>
          <w:rFonts w:hint="eastAsia"/>
          <w:color w:val="000000"/>
          <w:sz w:val="24"/>
          <w:szCs w:val="32"/>
        </w:rPr>
        <w:t xml:space="preserve">的采购文件、供应商响应文件，或与本次采购活动方式相适应的文件，以及有关附件是本合同不可分割的组成部分，与本合同具有同等法律效力，这些文件包括但不限于：</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1</w:t>
      </w:r>
      <w:r>
        <w:rPr>
          <w:rFonts w:hint="eastAsia"/>
          <w:color w:val="000000"/>
          <w:sz w:val="24"/>
          <w:szCs w:val="32"/>
        </w:rPr>
        <w:t xml:space="preserve">）乙方提供的响应文件和报价表；</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2</w:t>
      </w:r>
      <w:r>
        <w:rPr>
          <w:rFonts w:hint="eastAsia"/>
          <w:color w:val="000000"/>
          <w:sz w:val="24"/>
          <w:szCs w:val="32"/>
        </w:rPr>
        <w:t xml:space="preserve">）</w:t>
      </w:r>
      <w:r>
        <w:rPr>
          <w:rFonts w:hint="eastAsia"/>
          <w:sz w:val="24"/>
          <w:szCs w:val="32"/>
        </w:rPr>
        <w:t xml:space="preserve">项目整体实施方案和质量保证体系；</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3</w:t>
      </w:r>
      <w:r>
        <w:rPr>
          <w:rFonts w:hint="eastAsia"/>
          <w:color w:val="000000"/>
          <w:sz w:val="24"/>
          <w:szCs w:val="32"/>
        </w:rPr>
        <w:t xml:space="preserve">）服务承诺；</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4</w:t>
      </w:r>
      <w:r>
        <w:rPr>
          <w:rFonts w:hint="eastAsia"/>
          <w:color w:val="000000"/>
          <w:sz w:val="24"/>
          <w:szCs w:val="32"/>
        </w:rPr>
        <w:t xml:space="preserve">）成交通知书；</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5</w:t>
      </w:r>
      <w:r>
        <w:rPr>
          <w:rFonts w:hint="eastAsia"/>
          <w:color w:val="000000"/>
          <w:sz w:val="24"/>
          <w:szCs w:val="32"/>
        </w:rPr>
        <w:t xml:space="preserve">）甲乙双方商定的其他文件等。</w:t>
      </w:r>
      <w:r/>
    </w:p>
    <w:p>
      <w:pPr>
        <w:ind w:firstLine="482"/>
        <w:spacing w:line="360" w:lineRule="auto"/>
        <w:rPr>
          <w:b/>
          <w:bCs/>
          <w:color w:val="000000"/>
          <w:sz w:val="24"/>
          <w:szCs w:val="32"/>
        </w:rPr>
      </w:pPr>
      <w:r>
        <w:rPr>
          <w:rFonts w:hint="eastAsia"/>
          <w:b/>
          <w:bCs/>
          <w:color w:val="000000"/>
          <w:sz w:val="24"/>
          <w:szCs w:val="32"/>
        </w:rPr>
        <w:t xml:space="preserve">第四条</w:t>
      </w:r>
      <w:r>
        <w:rPr>
          <w:rFonts w:hint="eastAsia"/>
          <w:b/>
          <w:bCs/>
          <w:color w:val="000000"/>
          <w:sz w:val="24"/>
          <w:szCs w:val="32"/>
        </w:rPr>
        <w:t xml:space="preserve"> </w:t>
      </w:r>
      <w:r>
        <w:rPr>
          <w:rFonts w:hint="eastAsia"/>
          <w:b/>
          <w:bCs/>
          <w:color w:val="000000"/>
          <w:sz w:val="24"/>
          <w:szCs w:val="32"/>
        </w:rPr>
        <w:t xml:space="preserve">权利保证</w:t>
      </w:r>
      <w:r/>
    </w:p>
    <w:p>
      <w:pPr>
        <w:ind w:firstLine="480"/>
        <w:spacing w:line="360" w:lineRule="auto"/>
        <w:rPr>
          <w:color w:val="000000"/>
          <w:sz w:val="24"/>
          <w:szCs w:val="32"/>
        </w:rPr>
      </w:pPr>
      <w:r>
        <w:rPr>
          <w:rFonts w:hint="eastAsia"/>
          <w:color w:val="000000"/>
          <w:sz w:val="24"/>
          <w:szCs w:val="32"/>
        </w:rPr>
        <w:t xml:space="preserve">1</w:t>
      </w:r>
      <w:r>
        <w:rPr>
          <w:color w:val="000000"/>
          <w:sz w:val="24"/>
          <w:szCs w:val="32"/>
        </w:rPr>
        <w:t xml:space="preserve">、</w:t>
      </w:r>
      <w:r>
        <w:rPr>
          <w:rFonts w:hint="eastAsia"/>
          <w:color w:val="000000"/>
          <w:sz w:val="24"/>
          <w:szCs w:val="32"/>
        </w:rPr>
        <w:t xml:space="preserve">乙方应按采购文件规定的时间向甲方提供服务（包含与服务相关的货物）的有关技术资料。</w:t>
      </w:r>
      <w:r/>
    </w:p>
    <w:p>
      <w:pPr>
        <w:ind w:firstLine="480"/>
        <w:spacing w:line="360" w:lineRule="auto"/>
        <w:rPr>
          <w:color w:val="000000"/>
          <w:sz w:val="24"/>
          <w:szCs w:val="32"/>
        </w:rPr>
      </w:pPr>
      <w:r>
        <w:rPr>
          <w:rFonts w:hint="eastAsia"/>
          <w:color w:val="000000"/>
          <w:sz w:val="24"/>
          <w:szCs w:val="32"/>
        </w:rPr>
        <w:t xml:space="preserve">2</w:t>
      </w:r>
      <w:r>
        <w:rPr>
          <w:color w:val="000000"/>
          <w:sz w:val="24"/>
          <w:szCs w:val="32"/>
        </w:rPr>
        <w:t xml:space="preserve">、</w:t>
      </w:r>
      <w:r>
        <w:rPr>
          <w:rFonts w:hint="eastAsia"/>
          <w:color w:val="000000"/>
          <w:sz w:val="24"/>
          <w:szCs w:val="32"/>
        </w:rPr>
        <w:t xml:space="preserve">乙方应积极配合甲方工作调度，积极响应甲方要求</w:t>
      </w:r>
      <w:r>
        <w:rPr>
          <w:rFonts w:hint="eastAsia"/>
          <w:color w:val="000000"/>
          <w:sz w:val="24"/>
          <w:szCs w:val="32"/>
        </w:rPr>
        <w:t xml:space="preserve">,</w:t>
      </w:r>
      <w:r>
        <w:rPr>
          <w:rFonts w:hint="eastAsia"/>
          <w:color w:val="000000"/>
          <w:sz w:val="24"/>
          <w:szCs w:val="32"/>
        </w:rPr>
        <w:t xml:space="preserve">及时安排人员完成甲方安排的各项任务。</w:t>
      </w:r>
      <w:r/>
    </w:p>
    <w:p>
      <w:pPr>
        <w:ind w:firstLine="480"/>
        <w:spacing w:line="360" w:lineRule="auto"/>
        <w:rPr>
          <w:color w:val="000000"/>
          <w:sz w:val="24"/>
          <w:szCs w:val="32"/>
        </w:rPr>
      </w:pPr>
      <w:r>
        <w:rPr>
          <w:rFonts w:hint="eastAsia"/>
          <w:color w:val="000000"/>
          <w:sz w:val="24"/>
          <w:szCs w:val="32"/>
        </w:rPr>
        <w:t xml:space="preserve">3</w:t>
      </w:r>
      <w:r>
        <w:rPr>
          <w:color w:val="000000"/>
          <w:sz w:val="24"/>
          <w:szCs w:val="32"/>
        </w:rPr>
        <w:t xml:space="preserve">、</w:t>
      </w:r>
      <w:r>
        <w:rPr>
          <w:rFonts w:hint="eastAsia"/>
          <w:color w:val="000000"/>
          <w:sz w:val="24"/>
          <w:szCs w:val="32"/>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360" w:lineRule="auto"/>
        <w:rPr>
          <w:color w:val="000000"/>
          <w:sz w:val="24"/>
          <w:szCs w:val="32"/>
        </w:rPr>
      </w:pPr>
      <w:r>
        <w:rPr>
          <w:rFonts w:hint="eastAsia"/>
          <w:color w:val="000000"/>
          <w:sz w:val="24"/>
          <w:szCs w:val="32"/>
        </w:rPr>
        <w:t xml:space="preserve">4</w:t>
      </w:r>
      <w:r>
        <w:rPr>
          <w:color w:val="000000"/>
          <w:sz w:val="24"/>
          <w:szCs w:val="32"/>
        </w:rPr>
        <w:t xml:space="preserve">、</w:t>
      </w:r>
      <w:r>
        <w:rPr>
          <w:rFonts w:hint="eastAsia"/>
          <w:color w:val="000000"/>
          <w:sz w:val="24"/>
          <w:szCs w:val="32"/>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360" w:lineRule="auto"/>
        <w:rPr>
          <w:color w:val="000000"/>
          <w:sz w:val="24"/>
          <w:szCs w:val="32"/>
        </w:rPr>
      </w:pPr>
      <w:r>
        <w:rPr>
          <w:rFonts w:hint="eastAsia"/>
          <w:color w:val="000000"/>
          <w:sz w:val="24"/>
          <w:szCs w:val="32"/>
        </w:rPr>
        <w:t xml:space="preserve">5</w:t>
      </w:r>
      <w:r>
        <w:rPr>
          <w:rFonts w:hint="eastAsia"/>
          <w:color w:val="000000"/>
          <w:sz w:val="24"/>
          <w:szCs w:val="32"/>
        </w:rPr>
        <w:t xml:space="preserve">、乙方自行承担白蚁预防施工所需防护用品及劳保用品。人员工资，奖金，保险等所有人员支出全由企业自己承担，如发生安全事故所产生的一切费用也由企业全部承担。</w:t>
      </w:r>
      <w:r/>
    </w:p>
    <w:p>
      <w:pPr>
        <w:ind w:firstLine="480"/>
        <w:spacing w:line="360" w:lineRule="auto"/>
        <w:rPr>
          <w:sz w:val="24"/>
          <w:szCs w:val="32"/>
        </w:rPr>
      </w:pPr>
      <w:r>
        <w:rPr>
          <w:rFonts w:hint="eastAsia"/>
          <w:color w:val="000000"/>
          <w:sz w:val="24"/>
          <w:szCs w:val="32"/>
        </w:rPr>
        <w:t xml:space="preserve">6</w:t>
      </w:r>
      <w:r>
        <w:rPr>
          <w:rFonts w:hint="eastAsia"/>
          <w:color w:val="000000"/>
          <w:sz w:val="24"/>
          <w:szCs w:val="32"/>
        </w:rPr>
        <w:t xml:space="preserve">、乙方应积极配合采购人工作调度，积极响应甲方要求</w:t>
      </w:r>
      <w:r>
        <w:rPr>
          <w:rFonts w:hint="eastAsia"/>
          <w:color w:val="000000"/>
          <w:sz w:val="24"/>
          <w:szCs w:val="32"/>
        </w:rPr>
        <w:t xml:space="preserve">,</w:t>
      </w:r>
      <w:r>
        <w:rPr>
          <w:rFonts w:hint="eastAsia"/>
          <w:color w:val="000000"/>
          <w:sz w:val="24"/>
          <w:szCs w:val="32"/>
        </w:rPr>
        <w:t xml:space="preserve">及时安排人员完成甲方安排的各项任务。</w:t>
      </w:r>
      <w:r/>
    </w:p>
    <w:p>
      <w:pPr>
        <w:ind w:firstLine="482"/>
        <w:spacing w:line="360" w:lineRule="auto"/>
        <w:rPr>
          <w:b/>
          <w:bCs/>
          <w:color w:val="000000"/>
          <w:sz w:val="24"/>
          <w:szCs w:val="32"/>
        </w:rPr>
      </w:pPr>
      <w:r>
        <w:rPr>
          <w:rFonts w:hint="eastAsia"/>
          <w:b/>
          <w:bCs/>
          <w:color w:val="000000"/>
          <w:sz w:val="24"/>
          <w:szCs w:val="32"/>
        </w:rPr>
        <w:t xml:space="preserve">第五条</w:t>
      </w:r>
      <w:r>
        <w:rPr>
          <w:rFonts w:hint="eastAsia"/>
          <w:b/>
          <w:bCs/>
          <w:color w:val="000000"/>
          <w:sz w:val="24"/>
          <w:szCs w:val="32"/>
        </w:rPr>
        <w:t xml:space="preserve"> </w:t>
      </w:r>
      <w:r>
        <w:rPr>
          <w:rFonts w:hint="eastAsia"/>
          <w:b/>
          <w:bCs/>
          <w:color w:val="000000"/>
          <w:sz w:val="24"/>
          <w:szCs w:val="32"/>
        </w:rPr>
        <w:t xml:space="preserve">质量保证</w:t>
      </w:r>
      <w:r/>
    </w:p>
    <w:p>
      <w:pPr>
        <w:ind w:firstLine="480"/>
        <w:spacing w:line="360" w:lineRule="auto"/>
        <w:rPr>
          <w:color w:val="000000"/>
          <w:sz w:val="24"/>
          <w:szCs w:val="32"/>
        </w:rPr>
      </w:pPr>
      <w:r>
        <w:rPr>
          <w:rFonts w:hint="eastAsia"/>
          <w:color w:val="000000"/>
          <w:sz w:val="24"/>
          <w:szCs w:val="32"/>
        </w:rPr>
        <w:t xml:space="preserve">乙方所提供的服务的技术规格应与采购文件规定的技术规格及所附的“技术条款偏离表”相一致；若技术性能无特殊说明，则按国家有关部门最新颁布的标准及规范为准。</w:t>
      </w:r>
      <w:r/>
    </w:p>
    <w:p>
      <w:pPr>
        <w:ind w:firstLine="482"/>
        <w:spacing w:line="360" w:lineRule="auto"/>
        <w:rPr>
          <w:b/>
          <w:bCs/>
          <w:sz w:val="24"/>
          <w:szCs w:val="32"/>
        </w:rPr>
      </w:pPr>
      <w:r>
        <w:rPr>
          <w:rFonts w:hint="eastAsia"/>
          <w:b/>
          <w:bCs/>
          <w:sz w:val="24"/>
          <w:szCs w:val="32"/>
        </w:rPr>
        <w:t xml:space="preserve">第六条</w:t>
      </w:r>
      <w:r>
        <w:rPr>
          <w:rFonts w:hint="eastAsia"/>
          <w:b/>
          <w:bCs/>
          <w:sz w:val="24"/>
          <w:szCs w:val="32"/>
        </w:rPr>
        <w:t xml:space="preserve"> </w:t>
      </w:r>
      <w:r>
        <w:rPr>
          <w:rFonts w:hint="eastAsia"/>
          <w:b/>
          <w:bCs/>
          <w:sz w:val="24"/>
          <w:szCs w:val="32"/>
        </w:rPr>
        <w:t xml:space="preserve">交付和验收</w:t>
      </w:r>
      <w:r/>
    </w:p>
    <w:p>
      <w:pPr>
        <w:ind w:firstLine="482"/>
        <w:spacing w:line="360" w:lineRule="auto"/>
        <w:rPr>
          <w:b/>
          <w:bCs/>
          <w:sz w:val="24"/>
          <w:szCs w:val="32"/>
          <w:u w:val="single"/>
        </w:rPr>
      </w:pPr>
      <w:r>
        <w:rPr>
          <w:rFonts w:hint="eastAsia"/>
          <w:b/>
          <w:bCs/>
          <w:sz w:val="24"/>
          <w:szCs w:val="32"/>
        </w:rPr>
        <w:t xml:space="preserve">1</w:t>
      </w:r>
      <w:r>
        <w:rPr>
          <w:rFonts w:hint="eastAsia"/>
          <w:b/>
          <w:bCs/>
          <w:sz w:val="24"/>
          <w:szCs w:val="32"/>
        </w:rPr>
        <w:t xml:space="preserve">、项目服务周期：</w:t>
      </w:r>
      <w:r>
        <w:rPr>
          <w:rFonts w:hint="eastAsia"/>
          <w:b/>
          <w:bCs/>
          <w:sz w:val="24"/>
          <w:szCs w:val="32"/>
          <w:u w:val="single"/>
        </w:rPr>
        <w:t xml:space="preserve">                 </w:t>
      </w:r>
      <w:r>
        <w:rPr>
          <w:b/>
          <w:bCs/>
          <w:sz w:val="24"/>
          <w:szCs w:val="32"/>
        </w:rPr>
        <w:t xml:space="preserve">。</w:t>
      </w:r>
      <w:r/>
    </w:p>
    <w:p>
      <w:pPr>
        <w:ind w:firstLine="482"/>
        <w:spacing w:line="360" w:lineRule="auto"/>
        <w:rPr>
          <w:color w:val="000000"/>
          <w:sz w:val="24"/>
          <w:szCs w:val="32"/>
        </w:rPr>
      </w:pPr>
      <w:r>
        <w:rPr>
          <w:rFonts w:hint="eastAsia"/>
          <w:b/>
          <w:bCs/>
          <w:sz w:val="24"/>
          <w:szCs w:val="32"/>
        </w:rPr>
        <w:t xml:space="preserve">2</w:t>
      </w:r>
      <w:r>
        <w:rPr>
          <w:rFonts w:hint="eastAsia"/>
          <w:b/>
          <w:bCs/>
          <w:sz w:val="24"/>
          <w:szCs w:val="32"/>
        </w:rPr>
        <w:t xml:space="preserve">、验收标准：</w:t>
      </w:r>
      <w:r>
        <w:rPr>
          <w:rFonts w:hint="eastAsia"/>
          <w:color w:val="000000"/>
          <w:sz w:val="24"/>
          <w:szCs w:val="32"/>
        </w:rPr>
        <w:t xml:space="preserve">严格遵循《水利工程白蚁防治技术指南（试行）》《江苏省堤坝白蚁防治办法》及甲方制定的季度考核细则和乙方响应文件的承诺（不低于国家相关标准）；</w:t>
      </w:r>
      <w:r/>
    </w:p>
    <w:p>
      <w:pPr>
        <w:ind w:firstLine="482"/>
        <w:spacing w:line="360" w:lineRule="auto"/>
        <w:rPr>
          <w:color w:val="000000"/>
          <w:sz w:val="24"/>
          <w:szCs w:val="32"/>
        </w:rPr>
      </w:pPr>
      <w:r>
        <w:rPr>
          <w:rFonts w:hint="eastAsia"/>
          <w:color w:val="000000"/>
          <w:sz w:val="24"/>
          <w:szCs w:val="32"/>
        </w:rPr>
        <w:t xml:space="preserve">3</w:t>
      </w:r>
      <w:r>
        <w:rPr>
          <w:color w:val="000000"/>
          <w:sz w:val="24"/>
          <w:szCs w:val="32"/>
        </w:rPr>
        <w:t xml:space="preserve">、</w:t>
      </w:r>
      <w:r>
        <w:rPr>
          <w:rFonts w:hint="eastAsia"/>
          <w:color w:val="000000"/>
          <w:sz w:val="24"/>
          <w:szCs w:val="32"/>
        </w:rPr>
        <w:t xml:space="preserve">甲方成立验收小组，按照采购合同的约定对乙方的履约情况进行验收。验收时</w:t>
      </w:r>
      <w:r>
        <w:rPr>
          <w:rFonts w:hint="eastAsia"/>
          <w:color w:val="000000"/>
          <w:sz w:val="24"/>
          <w:szCs w:val="32"/>
        </w:rPr>
        <w:t xml:space="preserve">,</w:t>
      </w:r>
      <w:r>
        <w:rPr>
          <w:rFonts w:hint="eastAsia"/>
          <w:color w:val="000000"/>
          <w:sz w:val="24"/>
          <w:szCs w:val="32"/>
        </w:rPr>
        <w:t xml:space="preserve">甲方按照采购文件的约定对每一项技术、服务、安全标准的履约情况进行确认。验收结束后</w:t>
      </w:r>
      <w:r>
        <w:rPr>
          <w:rFonts w:hint="eastAsia"/>
          <w:color w:val="000000"/>
          <w:sz w:val="24"/>
          <w:szCs w:val="32"/>
        </w:rPr>
        <w:t xml:space="preserve">,</w:t>
      </w:r>
      <w:r>
        <w:rPr>
          <w:rFonts w:hint="eastAsia"/>
          <w:color w:val="000000"/>
          <w:sz w:val="24"/>
          <w:szCs w:val="32"/>
        </w:rPr>
        <w:t xml:space="preserve">验收小组出具验收书</w:t>
      </w:r>
      <w:r>
        <w:rPr>
          <w:rFonts w:hint="eastAsia"/>
          <w:color w:val="000000"/>
          <w:sz w:val="24"/>
          <w:szCs w:val="32"/>
        </w:rPr>
        <w:t xml:space="preserve">,</w:t>
      </w:r>
      <w:r>
        <w:rPr>
          <w:rFonts w:hint="eastAsia"/>
          <w:color w:val="000000"/>
          <w:sz w:val="24"/>
          <w:szCs w:val="32"/>
        </w:rPr>
        <w:t xml:space="preserve">列明各项标准的验收情况及项目总体评价</w:t>
      </w:r>
      <w:r>
        <w:rPr>
          <w:rFonts w:hint="eastAsia"/>
          <w:color w:val="000000"/>
          <w:sz w:val="24"/>
          <w:szCs w:val="32"/>
        </w:rPr>
        <w:t xml:space="preserve">,</w:t>
      </w:r>
      <w:r>
        <w:rPr>
          <w:rFonts w:hint="eastAsia"/>
          <w:color w:val="000000"/>
          <w:sz w:val="24"/>
          <w:szCs w:val="32"/>
        </w:rPr>
        <w:t xml:space="preserve">由验收双方共同签署。验收结果与采购合同约定的资金支付。履约验收的各项资料存档备查。</w:t>
      </w:r>
      <w:r/>
    </w:p>
    <w:p>
      <w:pPr>
        <w:ind w:firstLine="482"/>
        <w:spacing w:line="360" w:lineRule="auto"/>
        <w:rPr>
          <w:color w:val="000000"/>
          <w:sz w:val="24"/>
          <w:szCs w:val="32"/>
        </w:rPr>
      </w:pPr>
      <w:r>
        <w:rPr>
          <w:rFonts w:hint="eastAsia"/>
          <w:color w:val="000000"/>
          <w:sz w:val="24"/>
          <w:szCs w:val="32"/>
        </w:rPr>
        <w:t xml:space="preserve">4</w:t>
      </w:r>
      <w:r>
        <w:rPr>
          <w:color w:val="000000"/>
          <w:sz w:val="24"/>
          <w:szCs w:val="32"/>
        </w:rPr>
        <w:t xml:space="preserve">、</w:t>
      </w:r>
      <w:r>
        <w:rPr>
          <w:rFonts w:hint="eastAsia" w:ascii="宋体" w:hAnsi="宋体" w:cs="仿宋"/>
          <w:sz w:val="24"/>
          <w:szCs w:val="24"/>
        </w:rPr>
        <w:t xml:space="preserve">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360" w:lineRule="auto"/>
        <w:rPr>
          <w:b/>
          <w:bCs/>
          <w:i/>
          <w:iCs/>
          <w:sz w:val="24"/>
          <w:szCs w:val="32"/>
        </w:rPr>
      </w:pPr>
      <w:r>
        <w:rPr>
          <w:rFonts w:hint="eastAsia"/>
          <w:b/>
          <w:bCs/>
          <w:sz w:val="24"/>
          <w:szCs w:val="32"/>
        </w:rPr>
        <w:t xml:space="preserve">第七条</w:t>
      </w:r>
      <w:r>
        <w:rPr>
          <w:rFonts w:hint="eastAsia"/>
          <w:b/>
          <w:bCs/>
          <w:sz w:val="24"/>
          <w:szCs w:val="32"/>
        </w:rPr>
        <w:t xml:space="preserve"> </w:t>
      </w:r>
      <w:r>
        <w:rPr>
          <w:rFonts w:hint="eastAsia"/>
          <w:b/>
          <w:bCs/>
          <w:sz w:val="24"/>
          <w:szCs w:val="32"/>
        </w:rPr>
        <w:t xml:space="preserve">合同款支付</w:t>
      </w:r>
      <w:r/>
    </w:p>
    <w:p>
      <w:pPr>
        <w:ind w:firstLine="480"/>
        <w:spacing w:line="360" w:lineRule="auto"/>
        <w:rPr>
          <w:sz w:val="24"/>
          <w:szCs w:val="32"/>
        </w:rPr>
      </w:pPr>
      <w:r>
        <w:rPr>
          <w:rFonts w:hint="eastAsia"/>
          <w:sz w:val="24"/>
          <w:szCs w:val="32"/>
        </w:rPr>
        <w:t xml:space="preserve">1</w:t>
      </w:r>
      <w:r>
        <w:rPr>
          <w:rFonts w:hint="eastAsia"/>
          <w:sz w:val="24"/>
          <w:szCs w:val="32"/>
        </w:rPr>
        <w:t xml:space="preserve">、本合同项下所有款项均以人民币支付；</w:t>
      </w:r>
      <w:r/>
    </w:p>
    <w:p>
      <w:pPr>
        <w:ind w:firstLine="480"/>
        <w:spacing w:line="360" w:lineRule="auto"/>
        <w:rPr>
          <w:sz w:val="24"/>
          <w:szCs w:val="32"/>
        </w:rPr>
      </w:pPr>
      <w:r>
        <w:rPr>
          <w:rFonts w:hint="eastAsia"/>
          <w:sz w:val="24"/>
          <w:szCs w:val="32"/>
        </w:rPr>
        <w:t xml:space="preserve">2</w:t>
      </w:r>
      <w:r>
        <w:rPr>
          <w:rFonts w:hint="eastAsia"/>
          <w:sz w:val="24"/>
          <w:szCs w:val="32"/>
        </w:rPr>
        <w:t xml:space="preserve">、本合同项下的采购资金由财政集中支付或甲方自行支付（以财政实际拨款节点为准</w:t>
      </w:r>
      <w:r>
        <w:rPr>
          <w:rFonts w:hint="eastAsia"/>
          <w:sz w:val="24"/>
          <w:szCs w:val="32"/>
        </w:rPr>
        <w:t xml:space="preserve"> </w:t>
      </w:r>
      <w:r>
        <w:rPr>
          <w:rFonts w:hint="eastAsia"/>
          <w:sz w:val="24"/>
          <w:szCs w:val="32"/>
        </w:rPr>
        <w:t xml:space="preserve">），乙方向甲方开具等额发票；</w:t>
      </w:r>
      <w:r/>
    </w:p>
    <w:p>
      <w:pPr>
        <w:ind w:firstLine="480"/>
        <w:spacing w:line="360" w:lineRule="auto"/>
        <w:rPr>
          <w:sz w:val="24"/>
          <w:szCs w:val="32"/>
        </w:rPr>
      </w:pPr>
      <w:r>
        <w:rPr>
          <w:rFonts w:hint="eastAsia"/>
          <w:sz w:val="24"/>
          <w:szCs w:val="32"/>
        </w:rPr>
        <w:t xml:space="preserve">3</w:t>
      </w:r>
      <w:r>
        <w:rPr>
          <w:rFonts w:hint="eastAsia"/>
          <w:sz w:val="24"/>
          <w:szCs w:val="32"/>
        </w:rPr>
        <w:t xml:space="preserve">、付款条件：</w:t>
      </w:r>
      <w:r/>
    </w:p>
    <w:p>
      <w:pPr>
        <w:ind w:firstLine="480"/>
        <w:spacing w:line="360" w:lineRule="auto"/>
        <w:rPr>
          <w:rFonts w:ascii="宋体" w:cs="宋体"/>
          <w:sz w:val="24"/>
          <w:szCs w:val="24"/>
        </w:rPr>
      </w:pPr>
      <w:r>
        <w:rPr>
          <w:rFonts w:hint="eastAsia" w:ascii="宋体" w:cs="宋体"/>
          <w:sz w:val="24"/>
          <w:szCs w:val="24"/>
        </w:rPr>
        <w:t xml:space="preserve">服务费的结算形式：签订合同后，进场半年后支付合同价的50％，服务期满验收合格后</w:t>
      </w:r>
      <w:r>
        <w:rPr>
          <w:rFonts w:hint="eastAsia" w:ascii="宋体" w:cs="宋体"/>
          <w:sz w:val="24"/>
          <w:szCs w:val="24"/>
        </w:rPr>
        <w:t xml:space="preserve">付至审定价的100％。（付款金额需扣除季度考核处罚费用，付款时间以财政实际拨款节点为准）。</w:t>
      </w:r>
      <w:r/>
    </w:p>
    <w:p>
      <w:pPr>
        <w:ind w:firstLine="480"/>
        <w:spacing w:line="360" w:lineRule="auto"/>
        <w:rPr>
          <w:rFonts w:ascii="宋体" w:eastAsia="仿宋_GB2312" w:cs="宋体"/>
          <w:color w:val="000000"/>
          <w:spacing w:val="4"/>
          <w:sz w:val="24"/>
          <w:szCs w:val="24"/>
        </w:rPr>
      </w:pPr>
      <w:r>
        <w:rPr>
          <w:rFonts w:ascii="宋体" w:cs="宋体"/>
          <w:sz w:val="24"/>
          <w:szCs w:val="24"/>
        </w:rPr>
        <w:t xml:space="preserve">备注：</w:t>
      </w:r>
      <w:r>
        <w:rPr>
          <w:rFonts w:hint="eastAsia" w:ascii="宋体" w:cs="宋体"/>
          <w:sz w:val="24"/>
          <w:szCs w:val="24"/>
        </w:rPr>
        <w:t xml:space="preserve">本合同执行中相关的一切税费均由乙方负担。</w:t>
      </w:r>
      <w:r/>
    </w:p>
    <w:p>
      <w:pPr>
        <w:ind w:firstLine="482"/>
        <w:spacing w:line="360" w:lineRule="auto"/>
        <w:rPr>
          <w:b/>
          <w:bCs/>
          <w:color w:val="000000"/>
          <w:sz w:val="24"/>
          <w:szCs w:val="32"/>
        </w:rPr>
      </w:pPr>
      <w:r>
        <w:rPr>
          <w:rFonts w:hint="eastAsia"/>
          <w:b/>
          <w:bCs/>
          <w:color w:val="000000"/>
          <w:sz w:val="24"/>
          <w:szCs w:val="32"/>
        </w:rPr>
        <w:t xml:space="preserve">第八条</w:t>
      </w:r>
      <w:r>
        <w:rPr>
          <w:rFonts w:hint="eastAsia"/>
          <w:b/>
          <w:bCs/>
          <w:color w:val="000000"/>
          <w:sz w:val="24"/>
          <w:szCs w:val="32"/>
        </w:rPr>
        <w:t xml:space="preserve"> </w:t>
      </w:r>
      <w:r>
        <w:rPr>
          <w:rFonts w:hint="eastAsia"/>
          <w:b/>
          <w:bCs/>
          <w:color w:val="000000"/>
          <w:sz w:val="24"/>
          <w:szCs w:val="32"/>
        </w:rPr>
        <w:t xml:space="preserve">违约责任</w:t>
      </w:r>
      <w:r/>
    </w:p>
    <w:p>
      <w:pPr>
        <w:ind w:firstLine="480"/>
        <w:spacing w:line="360" w:lineRule="auto"/>
        <w:rPr>
          <w:color w:val="000000"/>
          <w:sz w:val="24"/>
          <w:szCs w:val="32"/>
        </w:rPr>
      </w:pPr>
      <w:r>
        <w:rPr>
          <w:rFonts w:hint="eastAsia"/>
          <w:color w:val="000000"/>
          <w:sz w:val="24"/>
          <w:szCs w:val="32"/>
        </w:rPr>
        <w:t xml:space="preserve">１、甲方无正当理由拒收服务、拒付服务款的，甲方向乙方偿付合同总价的</w:t>
      </w:r>
      <w:r>
        <w:rPr>
          <w:rFonts w:hint="eastAsia"/>
          <w:color w:val="000000"/>
          <w:sz w:val="24"/>
          <w:szCs w:val="32"/>
        </w:rPr>
        <w:t xml:space="preserve">1%</w:t>
      </w:r>
      <w:r>
        <w:rPr>
          <w:rFonts w:hint="eastAsia"/>
          <w:color w:val="000000"/>
          <w:sz w:val="24"/>
          <w:szCs w:val="32"/>
        </w:rPr>
        <w:t xml:space="preserve">违约金；</w:t>
      </w:r>
      <w:r/>
    </w:p>
    <w:p>
      <w:pPr>
        <w:ind w:firstLine="480"/>
        <w:spacing w:line="360" w:lineRule="auto"/>
        <w:rPr>
          <w:color w:val="000000"/>
          <w:sz w:val="24"/>
          <w:szCs w:val="32"/>
        </w:rPr>
      </w:pPr>
      <w:r>
        <w:rPr>
          <w:rFonts w:hint="eastAsia"/>
          <w:color w:val="000000"/>
          <w:sz w:val="24"/>
          <w:szCs w:val="32"/>
        </w:rPr>
        <w:t xml:space="preserve">2</w:t>
      </w:r>
      <w:r>
        <w:rPr>
          <w:rFonts w:hint="eastAsia"/>
          <w:color w:val="000000"/>
          <w:sz w:val="24"/>
          <w:szCs w:val="32"/>
        </w:rPr>
        <w:t xml:space="preserve">、如乙方不能交付服务的，乙方应向甲方支付合同总价</w:t>
      </w:r>
      <w:r>
        <w:rPr>
          <w:rFonts w:hint="eastAsia"/>
          <w:color w:val="000000"/>
          <w:sz w:val="24"/>
          <w:szCs w:val="32"/>
        </w:rPr>
        <w:t xml:space="preserve">10%</w:t>
      </w:r>
      <w:r>
        <w:rPr>
          <w:rFonts w:hint="eastAsia"/>
          <w:color w:val="000000"/>
          <w:sz w:val="24"/>
          <w:szCs w:val="32"/>
        </w:rPr>
        <w:t xml:space="preserve">的违约金；</w:t>
      </w:r>
      <w:r/>
    </w:p>
    <w:p>
      <w:pPr>
        <w:ind w:firstLine="480"/>
        <w:spacing w:line="360" w:lineRule="auto"/>
        <w:rPr>
          <w:color w:val="000000"/>
          <w:sz w:val="24"/>
          <w:szCs w:val="32"/>
        </w:rPr>
      </w:pPr>
      <w:r>
        <w:rPr>
          <w:rFonts w:hint="eastAsia"/>
          <w:color w:val="000000"/>
          <w:sz w:val="24"/>
          <w:szCs w:val="32"/>
        </w:rPr>
        <w:t xml:space="preserve">3</w:t>
      </w:r>
      <w:r>
        <w:rPr>
          <w:rFonts w:hint="eastAsia"/>
          <w:color w:val="000000"/>
          <w:sz w:val="24"/>
          <w:szCs w:val="32"/>
        </w:rPr>
        <w:t xml:space="preserve">、乙方逾期交付的，每逾期</w:t>
      </w:r>
      <w:r>
        <w:rPr>
          <w:rFonts w:hint="eastAsia"/>
          <w:color w:val="000000"/>
          <w:sz w:val="24"/>
          <w:szCs w:val="32"/>
        </w:rPr>
        <w:t xml:space="preserve">1</w:t>
      </w:r>
      <w:r>
        <w:rPr>
          <w:rFonts w:hint="eastAsia"/>
          <w:color w:val="000000"/>
          <w:sz w:val="24"/>
          <w:szCs w:val="32"/>
        </w:rPr>
        <w:t xml:space="preserve">天，乙方向甲方偿付合同总额的</w:t>
      </w:r>
      <w:r>
        <w:rPr>
          <w:rFonts w:hint="eastAsia"/>
          <w:color w:val="000000"/>
          <w:sz w:val="24"/>
          <w:szCs w:val="32"/>
        </w:rPr>
        <w:t xml:space="preserve">5</w:t>
      </w:r>
      <w:r>
        <w:rPr>
          <w:rFonts w:hint="eastAsia"/>
          <w:color w:val="000000"/>
          <w:sz w:val="24"/>
          <w:szCs w:val="32"/>
        </w:rPr>
        <w:t xml:space="preserve">‰的滞纳金。如乙方逾期交付达</w:t>
      </w:r>
      <w:r>
        <w:rPr>
          <w:rFonts w:hint="eastAsia"/>
          <w:color w:val="000000"/>
          <w:sz w:val="24"/>
          <w:szCs w:val="32"/>
        </w:rPr>
        <w:t xml:space="preserve">10</w:t>
      </w:r>
      <w:r>
        <w:rPr>
          <w:rFonts w:hint="eastAsia"/>
          <w:color w:val="000000"/>
          <w:sz w:val="24"/>
          <w:szCs w:val="32"/>
        </w:rPr>
        <w:t xml:space="preserve">天，甲方有权解除合同，解除合同的通知自到达乙方时生效，乙方因逾期提供服务或因其他违约行为导致甲方解除合同的，乙方应向甲方支付合同价款总额</w:t>
      </w:r>
      <w:r>
        <w:rPr>
          <w:rFonts w:hint="eastAsia"/>
          <w:color w:val="000000"/>
          <w:sz w:val="24"/>
          <w:szCs w:val="32"/>
        </w:rPr>
        <w:t xml:space="preserve"> 5% </w:t>
      </w:r>
      <w:r>
        <w:rPr>
          <w:rFonts w:hint="eastAsia"/>
          <w:color w:val="000000"/>
          <w:sz w:val="24"/>
          <w:szCs w:val="32"/>
        </w:rPr>
        <w:t xml:space="preserve">的违约金，如造成甲方损失超过违约金的，超出部分由乙方继续承担赔偿责任。；</w:t>
      </w:r>
      <w:r/>
    </w:p>
    <w:p>
      <w:pPr>
        <w:ind w:firstLine="480"/>
        <w:spacing w:line="360" w:lineRule="auto"/>
        <w:rPr>
          <w:color w:val="000000"/>
          <w:sz w:val="24"/>
          <w:szCs w:val="32"/>
        </w:rPr>
      </w:pPr>
      <w:r>
        <w:rPr>
          <w:rFonts w:hint="eastAsia"/>
          <w:color w:val="000000"/>
          <w:sz w:val="24"/>
          <w:szCs w:val="32"/>
        </w:rPr>
        <w:t xml:space="preserve">4</w:t>
      </w:r>
      <w:r>
        <w:rPr>
          <w:rFonts w:hint="eastAsia"/>
          <w:color w:val="000000"/>
          <w:sz w:val="24"/>
          <w:szCs w:val="32"/>
        </w:rPr>
        <w:t xml:space="preserve">、乙方所交付的服务不符合合同规定的，甲方有权拒收。甲方拒收的，乙方应向甲方支付合同总款</w:t>
      </w:r>
      <w:r>
        <w:rPr>
          <w:rFonts w:hint="eastAsia"/>
          <w:color w:val="000000"/>
          <w:sz w:val="24"/>
          <w:szCs w:val="32"/>
        </w:rPr>
        <w:t xml:space="preserve">10%</w:t>
      </w:r>
      <w:r>
        <w:rPr>
          <w:rFonts w:hint="eastAsia"/>
          <w:color w:val="000000"/>
          <w:sz w:val="24"/>
          <w:szCs w:val="32"/>
        </w:rPr>
        <w:t xml:space="preserve">的违约金。甲方未发现导致接收的，甲方有权在接受后向有关部门反映，并责成乙方按照采购结果提供服务，同时视情有权不予支付相关款项，并追究乙方违约责任。甲方保留单方面解除合同的权利；</w:t>
      </w:r>
      <w:r/>
    </w:p>
    <w:p>
      <w:pPr>
        <w:ind w:firstLine="480"/>
        <w:spacing w:line="360" w:lineRule="auto"/>
        <w:rPr>
          <w:color w:val="000000"/>
          <w:sz w:val="24"/>
          <w:szCs w:val="32"/>
        </w:rPr>
      </w:pPr>
      <w:r>
        <w:rPr>
          <w:rFonts w:hint="eastAsia"/>
          <w:color w:val="000000"/>
          <w:sz w:val="24"/>
          <w:szCs w:val="32"/>
        </w:rPr>
        <w:t xml:space="preserve">5</w:t>
      </w:r>
      <w:r>
        <w:rPr>
          <w:rFonts w:hint="eastAsia"/>
          <w:color w:val="000000"/>
          <w:sz w:val="24"/>
          <w:szCs w:val="32"/>
        </w:rPr>
        <w:t xml:space="preserve">、在乙方承诺的或国家规定的质量保证期内（取两者中最长的期限），如经乙方两次整改仍不能达到合同约定的质量标准，乙方应退回全部合同价款，并按第</w:t>
      </w:r>
      <w:r>
        <w:rPr>
          <w:rFonts w:hint="eastAsia"/>
          <w:color w:val="000000"/>
          <w:sz w:val="24"/>
          <w:szCs w:val="32"/>
        </w:rPr>
        <w:t xml:space="preserve">3</w:t>
      </w:r>
      <w:r>
        <w:rPr>
          <w:rFonts w:hint="eastAsia"/>
          <w:color w:val="000000"/>
          <w:sz w:val="24"/>
          <w:szCs w:val="32"/>
        </w:rPr>
        <w:t xml:space="preserve">款处理，同时，乙方还须赔偿甲方因此遭受的损失；</w:t>
      </w:r>
      <w:r/>
    </w:p>
    <w:p>
      <w:pPr>
        <w:ind w:firstLine="480"/>
        <w:spacing w:line="360" w:lineRule="auto"/>
        <w:rPr>
          <w:color w:val="000000"/>
          <w:sz w:val="24"/>
          <w:szCs w:val="32"/>
        </w:rPr>
      </w:pPr>
      <w:r>
        <w:rPr>
          <w:rFonts w:hint="eastAsia"/>
          <w:color w:val="000000"/>
          <w:sz w:val="24"/>
          <w:szCs w:val="32"/>
        </w:rPr>
        <w:t xml:space="preserve">6</w:t>
      </w:r>
      <w:r>
        <w:rPr>
          <w:rFonts w:hint="eastAsia"/>
          <w:color w:val="000000"/>
          <w:sz w:val="24"/>
          <w:szCs w:val="32"/>
        </w:rPr>
        <w:t xml:space="preserve">、乙方未按本合同的规定和“服务承诺”提供伴随服务</w:t>
      </w:r>
      <w:r>
        <w:rPr>
          <w:rFonts w:hint="eastAsia"/>
          <w:color w:val="000000"/>
          <w:sz w:val="24"/>
          <w:szCs w:val="32"/>
        </w:rPr>
        <w:t xml:space="preserve">/</w:t>
      </w:r>
      <w:r>
        <w:rPr>
          <w:rFonts w:hint="eastAsia"/>
          <w:color w:val="000000"/>
          <w:sz w:val="24"/>
          <w:szCs w:val="32"/>
        </w:rPr>
        <w:t xml:space="preserve">售后服务的，应按合同总价款的</w:t>
      </w:r>
      <w:r>
        <w:rPr>
          <w:rFonts w:hint="eastAsia"/>
          <w:color w:val="000000"/>
          <w:sz w:val="24"/>
          <w:szCs w:val="32"/>
        </w:rPr>
        <w:t xml:space="preserve">10%</w:t>
      </w:r>
      <w:r>
        <w:rPr>
          <w:rFonts w:hint="eastAsia"/>
          <w:color w:val="000000"/>
          <w:sz w:val="24"/>
          <w:szCs w:val="32"/>
        </w:rPr>
        <w:t xml:space="preserve">向甲方承担违约责任；</w:t>
      </w:r>
      <w:r/>
    </w:p>
    <w:p>
      <w:pPr>
        <w:ind w:firstLine="480"/>
        <w:spacing w:line="360" w:lineRule="auto"/>
        <w:rPr>
          <w:color w:val="000000"/>
          <w:sz w:val="24"/>
          <w:szCs w:val="32"/>
        </w:rPr>
      </w:pPr>
      <w:r>
        <w:rPr>
          <w:rFonts w:hint="eastAsia"/>
          <w:color w:val="000000"/>
          <w:sz w:val="24"/>
          <w:szCs w:val="32"/>
        </w:rPr>
        <w:t xml:space="preserve">7</w:t>
      </w:r>
      <w:r>
        <w:rPr>
          <w:rFonts w:hint="eastAsia"/>
          <w:color w:val="000000"/>
          <w:sz w:val="24"/>
          <w:szCs w:val="32"/>
        </w:rPr>
        <w:t xml:space="preserve">、乙方在承担上述</w:t>
      </w:r>
      <w:r>
        <w:rPr>
          <w:rFonts w:hint="eastAsia"/>
          <w:color w:val="000000"/>
          <w:sz w:val="24"/>
          <w:szCs w:val="32"/>
        </w:rPr>
        <w:t xml:space="preserve">4-7</w:t>
      </w:r>
      <w:r>
        <w:rPr>
          <w:rFonts w:hint="eastAsia"/>
          <w:color w:val="000000"/>
          <w:sz w:val="24"/>
          <w:szCs w:val="32"/>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color w:val="000000"/>
          <w:sz w:val="24"/>
          <w:szCs w:val="32"/>
        </w:rPr>
      </w:pPr>
      <w:r>
        <w:rPr>
          <w:rFonts w:hint="eastAsia"/>
          <w:color w:val="000000"/>
          <w:sz w:val="24"/>
          <w:szCs w:val="32"/>
        </w:rPr>
        <w:t xml:space="preserve">8</w:t>
      </w:r>
      <w:r>
        <w:rPr>
          <w:rFonts w:hint="eastAsia"/>
          <w:color w:val="000000"/>
          <w:sz w:val="24"/>
          <w:szCs w:val="32"/>
        </w:rPr>
        <w:t xml:space="preserve">、乙方响应属虚假承诺，或经权威部门监测提供的服务不能满足竞争性磋商文件要求，或是由于乙方的过错造成合同无法继续履行的，乙方应向甲方支付不少于合同总价</w:t>
      </w:r>
      <w:r>
        <w:rPr>
          <w:rFonts w:hint="eastAsia"/>
          <w:color w:val="000000"/>
          <w:sz w:val="24"/>
          <w:szCs w:val="32"/>
        </w:rPr>
        <w:t xml:space="preserve">30%</w:t>
      </w:r>
      <w:r>
        <w:rPr>
          <w:rFonts w:hint="eastAsia"/>
          <w:color w:val="000000"/>
          <w:sz w:val="24"/>
          <w:szCs w:val="32"/>
        </w:rPr>
        <w:t xml:space="preserve">赔偿金；</w:t>
      </w:r>
      <w:r/>
    </w:p>
    <w:p>
      <w:pPr>
        <w:ind w:firstLine="480"/>
        <w:spacing w:line="360" w:lineRule="auto"/>
        <w:rPr>
          <w:color w:val="000000"/>
          <w:sz w:val="24"/>
          <w:szCs w:val="32"/>
        </w:rPr>
      </w:pPr>
      <w:r>
        <w:rPr>
          <w:rFonts w:hint="eastAsia"/>
          <w:color w:val="000000"/>
          <w:sz w:val="24"/>
          <w:szCs w:val="32"/>
        </w:rPr>
        <w:t xml:space="preserve">9</w:t>
      </w:r>
      <w:r>
        <w:rPr>
          <w:rFonts w:hint="eastAsia"/>
          <w:color w:val="000000"/>
          <w:sz w:val="24"/>
          <w:szCs w:val="32"/>
        </w:rPr>
        <w:t xml:space="preserve">、乙方不得将合同标的转包、分包给他人履行。如有转包或未经甲方同意的分包行为，乙方应向甲方支付不少于合同总价</w:t>
      </w:r>
      <w:r>
        <w:rPr>
          <w:rFonts w:hint="eastAsia"/>
          <w:color w:val="000000"/>
          <w:sz w:val="24"/>
          <w:szCs w:val="32"/>
        </w:rPr>
        <w:t xml:space="preserve">30%</w:t>
      </w:r>
      <w:r>
        <w:rPr>
          <w:rFonts w:hint="eastAsia"/>
          <w:color w:val="000000"/>
          <w:sz w:val="24"/>
          <w:szCs w:val="32"/>
        </w:rPr>
        <w:t xml:space="preserve">赔偿金，甲方保留单方面解除合同的权利；</w:t>
      </w:r>
      <w:r/>
    </w:p>
    <w:p>
      <w:pPr>
        <w:ind w:firstLine="480"/>
        <w:spacing w:line="360" w:lineRule="auto"/>
        <w:rPr>
          <w:color w:val="000000"/>
          <w:sz w:val="24"/>
          <w:szCs w:val="32"/>
        </w:rPr>
      </w:pPr>
      <w:r>
        <w:rPr>
          <w:rFonts w:hint="eastAsia"/>
          <w:color w:val="000000"/>
          <w:sz w:val="24"/>
          <w:szCs w:val="32"/>
        </w:rPr>
        <w:t xml:space="preserve">10</w:t>
      </w:r>
      <w:r>
        <w:rPr>
          <w:color w:val="000000"/>
          <w:sz w:val="24"/>
          <w:szCs w:val="32"/>
        </w:rPr>
        <w:t xml:space="preserve">、</w:t>
      </w:r>
      <w:r>
        <w:rPr>
          <w:rFonts w:hint="eastAsia"/>
          <w:color w:val="000000"/>
          <w:sz w:val="24"/>
          <w:szCs w:val="32"/>
        </w:rPr>
        <w:t xml:space="preserve">合同履行过程中，乙方负责工作团队安全教育，制定并落实安全生产管理制度，加强安全管控，因乙方原因产生的安全问题由乙方承担。双方一致同意，根据相关法律规定，乙方为生产安全责任主体；本服务协议项下，乙方对受托范围内的安全生产管理工作负首要</w:t>
      </w:r>
      <w:r>
        <w:rPr>
          <w:rFonts w:hint="eastAsia"/>
          <w:color w:val="000000"/>
          <w:sz w:val="24"/>
          <w:szCs w:val="32"/>
        </w:rPr>
        <w:t xml:space="preserve">责任。根据不同的专业性质，乙方负责安排具体日常生产安全管理工作，并按照下述要求履行安全生产职责。</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1</w:t>
      </w:r>
      <w:r>
        <w:rPr>
          <w:rFonts w:hint="eastAsia"/>
          <w:color w:val="000000"/>
          <w:sz w:val="24"/>
          <w:szCs w:val="32"/>
        </w:rPr>
        <w:t xml:space="preserve">）乙方应加强</w:t>
      </w:r>
      <w:r>
        <w:rPr>
          <w:color w:val="000000"/>
          <w:sz w:val="24"/>
          <w:szCs w:val="32"/>
        </w:rPr>
        <w:t xml:space="preserve">安全生产管理，接受政府有关部门和上级的监管，严格按照《中华人民共和国安全生产法》中的要求，压实各级的安全生产责任，提高项目安全生产水平，确保安全生产。</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2</w:t>
      </w:r>
      <w:r>
        <w:rPr>
          <w:rFonts w:hint="eastAsia"/>
          <w:color w:val="000000"/>
          <w:sz w:val="24"/>
          <w:szCs w:val="32"/>
        </w:rPr>
        <w:t xml:space="preserve">）乙方</w:t>
      </w:r>
      <w:r>
        <w:rPr>
          <w:color w:val="000000"/>
          <w:sz w:val="24"/>
          <w:szCs w:val="32"/>
        </w:rPr>
        <w:t xml:space="preserve">确保具备《中华人民共和国安全生产法》和有关法律、行政法规和国家标准或者行业标准规定的安全生产条件；不具备安全生产条件的，不得从事生产经营活动。</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3</w:t>
      </w:r>
      <w:r>
        <w:rPr>
          <w:rFonts w:hint="eastAsia"/>
          <w:color w:val="000000"/>
          <w:sz w:val="24"/>
          <w:szCs w:val="32"/>
        </w:rPr>
        <w:t xml:space="preserve">）</w:t>
      </w:r>
      <w:r>
        <w:rPr>
          <w:color w:val="000000"/>
          <w:sz w:val="24"/>
          <w:szCs w:val="32"/>
        </w:rPr>
        <w:t xml:space="preserve">建立相应的机制，加强对全员安全生产责任制落实情况的监督考核，保证全员安全生产责任制的落实。</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4</w:t>
      </w:r>
      <w:r>
        <w:rPr>
          <w:rFonts w:hint="eastAsia"/>
          <w:color w:val="000000"/>
          <w:sz w:val="24"/>
          <w:szCs w:val="32"/>
        </w:rPr>
        <w:t xml:space="preserve">）乙方</w:t>
      </w:r>
      <w:r>
        <w:rPr>
          <w:color w:val="000000"/>
          <w:sz w:val="24"/>
          <w:szCs w:val="32"/>
        </w:rPr>
        <w:t xml:space="preserve">应当教育和督促</w:t>
      </w:r>
      <w:r>
        <w:rPr>
          <w:rFonts w:hint="eastAsia"/>
          <w:color w:val="000000"/>
          <w:sz w:val="24"/>
          <w:szCs w:val="32"/>
        </w:rPr>
        <w:t xml:space="preserve">员工</w:t>
      </w:r>
      <w:r>
        <w:rPr>
          <w:color w:val="000000"/>
          <w:sz w:val="24"/>
          <w:szCs w:val="32"/>
        </w:rPr>
        <w:t xml:space="preserve">严格执行公司的安全生产规章制度和安全操作规程。</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5</w:t>
      </w:r>
      <w:r>
        <w:rPr>
          <w:rFonts w:hint="eastAsia"/>
          <w:color w:val="000000"/>
          <w:sz w:val="24"/>
          <w:szCs w:val="32"/>
        </w:rPr>
        <w:t xml:space="preserve">）乙方</w:t>
      </w:r>
      <w:r>
        <w:rPr>
          <w:color w:val="000000"/>
          <w:sz w:val="24"/>
          <w:szCs w:val="32"/>
        </w:rPr>
        <w:t xml:space="preserve">应当配备</w:t>
      </w:r>
      <w:r>
        <w:rPr>
          <w:rFonts w:hint="eastAsia"/>
          <w:color w:val="000000"/>
          <w:sz w:val="24"/>
          <w:szCs w:val="32"/>
        </w:rPr>
        <w:t xml:space="preserve">采购必要的</w:t>
      </w:r>
      <w:r>
        <w:rPr>
          <w:color w:val="000000"/>
          <w:sz w:val="24"/>
          <w:szCs w:val="32"/>
        </w:rPr>
        <w:t xml:space="preserve">劳动防护用品</w:t>
      </w:r>
      <w:r>
        <w:rPr>
          <w:rFonts w:hint="eastAsia"/>
          <w:color w:val="000000"/>
          <w:sz w:val="24"/>
          <w:szCs w:val="32"/>
        </w:rPr>
        <w:t xml:space="preserve">，准备</w:t>
      </w:r>
      <w:r>
        <w:rPr>
          <w:color w:val="000000"/>
          <w:sz w:val="24"/>
          <w:szCs w:val="32"/>
        </w:rPr>
        <w:t xml:space="preserve">进行安全生产培训的经费。</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6</w:t>
      </w:r>
      <w:r>
        <w:rPr>
          <w:rFonts w:hint="eastAsia"/>
          <w:color w:val="000000"/>
          <w:sz w:val="24"/>
          <w:szCs w:val="32"/>
        </w:rPr>
        <w:t xml:space="preserve">）</w:t>
      </w:r>
      <w:r>
        <w:rPr>
          <w:color w:val="000000"/>
          <w:sz w:val="24"/>
          <w:szCs w:val="32"/>
        </w:rPr>
        <w:t xml:space="preserve">若发生安全生产责任事故的，</w:t>
      </w:r>
      <w:r>
        <w:rPr>
          <w:rFonts w:hint="eastAsia"/>
          <w:color w:val="000000"/>
          <w:sz w:val="24"/>
          <w:szCs w:val="32"/>
        </w:rPr>
        <w:t xml:space="preserve">乙方</w:t>
      </w:r>
      <w:r>
        <w:rPr>
          <w:color w:val="000000"/>
          <w:sz w:val="24"/>
          <w:szCs w:val="32"/>
        </w:rPr>
        <w:t xml:space="preserve">承担</w:t>
      </w:r>
      <w:r>
        <w:rPr>
          <w:rFonts w:hint="eastAsia"/>
          <w:color w:val="000000"/>
          <w:sz w:val="24"/>
          <w:szCs w:val="32"/>
        </w:rPr>
        <w:t xml:space="preserve">全部的</w:t>
      </w:r>
      <w:r>
        <w:rPr>
          <w:color w:val="000000"/>
          <w:sz w:val="24"/>
          <w:szCs w:val="32"/>
        </w:rPr>
        <w:t xml:space="preserve">安全生产责任</w:t>
      </w:r>
      <w:r>
        <w:rPr>
          <w:rFonts w:hint="eastAsia"/>
          <w:color w:val="000000"/>
          <w:sz w:val="24"/>
          <w:szCs w:val="32"/>
        </w:rPr>
        <w:t xml:space="preserve">，并赔偿相应人员或机构的损失，且甲方有权终止本合同</w:t>
      </w:r>
      <w:r>
        <w:rPr>
          <w:color w:val="000000"/>
          <w:sz w:val="24"/>
          <w:szCs w:val="32"/>
        </w:rPr>
        <w:t xml:space="preserve">。</w:t>
      </w:r>
      <w:r/>
    </w:p>
    <w:p>
      <w:pPr>
        <w:ind w:firstLine="482"/>
        <w:spacing w:line="360" w:lineRule="auto"/>
        <w:rPr>
          <w:b/>
          <w:bCs/>
          <w:color w:val="000000"/>
          <w:sz w:val="24"/>
          <w:szCs w:val="32"/>
        </w:rPr>
      </w:pPr>
      <w:r>
        <w:rPr>
          <w:rFonts w:hint="eastAsia"/>
          <w:b/>
          <w:bCs/>
          <w:color w:val="000000"/>
          <w:sz w:val="24"/>
          <w:szCs w:val="32"/>
        </w:rPr>
        <w:t xml:space="preserve">第九条</w:t>
      </w:r>
      <w:r>
        <w:rPr>
          <w:rFonts w:hint="eastAsia"/>
          <w:b/>
          <w:bCs/>
          <w:color w:val="000000"/>
          <w:sz w:val="24"/>
          <w:szCs w:val="32"/>
        </w:rPr>
        <w:t xml:space="preserve"> </w:t>
      </w:r>
      <w:r>
        <w:rPr>
          <w:rFonts w:hint="eastAsia"/>
          <w:b/>
          <w:bCs/>
          <w:color w:val="000000"/>
          <w:sz w:val="24"/>
          <w:szCs w:val="32"/>
        </w:rPr>
        <w:t xml:space="preserve">合同的变更和终止</w:t>
      </w:r>
      <w:r/>
    </w:p>
    <w:p>
      <w:pPr>
        <w:ind w:firstLine="480"/>
        <w:spacing w:line="360" w:lineRule="auto"/>
        <w:rPr>
          <w:color w:val="000000"/>
          <w:sz w:val="24"/>
          <w:szCs w:val="32"/>
        </w:rPr>
      </w:pPr>
      <w:r>
        <w:rPr>
          <w:rFonts w:hint="eastAsia"/>
          <w:color w:val="000000"/>
          <w:sz w:val="24"/>
          <w:szCs w:val="32"/>
        </w:rPr>
        <w:t xml:space="preserve">1</w:t>
      </w:r>
      <w:r>
        <w:rPr>
          <w:rFonts w:hint="eastAsia"/>
          <w:color w:val="000000"/>
          <w:sz w:val="24"/>
          <w:szCs w:val="32"/>
        </w:rPr>
        <w:t xml:space="preserve">、除《政府采购法》第</w:t>
      </w:r>
      <w:r>
        <w:rPr>
          <w:rFonts w:hint="eastAsia"/>
          <w:color w:val="000000"/>
          <w:sz w:val="24"/>
          <w:szCs w:val="32"/>
        </w:rPr>
        <w:t xml:space="preserve">50</w:t>
      </w:r>
      <w:r>
        <w:rPr>
          <w:rFonts w:hint="eastAsia"/>
          <w:color w:val="000000"/>
          <w:sz w:val="24"/>
          <w:szCs w:val="32"/>
        </w:rPr>
        <w:t xml:space="preserve">条第二款规定的情形外，本合同一经签订，甲乙双方不得擅自变更、中止或终止合同；</w:t>
      </w:r>
      <w:r/>
    </w:p>
    <w:p>
      <w:pPr>
        <w:ind w:firstLine="480"/>
        <w:spacing w:line="360" w:lineRule="auto"/>
        <w:rPr>
          <w:color w:val="000000"/>
          <w:sz w:val="24"/>
          <w:szCs w:val="32"/>
        </w:rPr>
      </w:pPr>
      <w:r>
        <w:rPr>
          <w:rFonts w:hint="eastAsia"/>
          <w:color w:val="000000"/>
          <w:sz w:val="24"/>
          <w:szCs w:val="32"/>
        </w:rPr>
        <w:t xml:space="preserve">2</w:t>
      </w:r>
      <w:r>
        <w:rPr>
          <w:rFonts w:hint="eastAsia"/>
          <w:color w:val="000000"/>
          <w:sz w:val="24"/>
          <w:szCs w:val="32"/>
        </w:rPr>
        <w:t xml:space="preserve">、除发生法律规定的不能预见、不能避免并不能克服的客观情况外，甲乙双方不得放弃或拒绝履行合同。乙方放弃或拒绝履行合同，应支付甲方合同总额</w:t>
      </w:r>
      <w:r>
        <w:rPr>
          <w:rFonts w:hint="eastAsia"/>
          <w:color w:val="000000"/>
          <w:sz w:val="24"/>
          <w:szCs w:val="32"/>
        </w:rPr>
        <w:t xml:space="preserve">20%</w:t>
      </w:r>
      <w:r>
        <w:rPr>
          <w:rFonts w:hint="eastAsia"/>
          <w:color w:val="000000"/>
          <w:sz w:val="24"/>
          <w:szCs w:val="32"/>
        </w:rPr>
        <w:t xml:space="preserve">的违约金。</w:t>
      </w:r>
      <w:r/>
    </w:p>
    <w:p>
      <w:pPr>
        <w:ind w:firstLine="482"/>
        <w:spacing w:line="360" w:lineRule="auto"/>
        <w:rPr>
          <w:b/>
          <w:bCs/>
          <w:color w:val="000000"/>
          <w:sz w:val="24"/>
          <w:szCs w:val="32"/>
        </w:rPr>
      </w:pPr>
      <w:r>
        <w:rPr>
          <w:rFonts w:hint="eastAsia"/>
          <w:b/>
          <w:bCs/>
          <w:color w:val="000000"/>
          <w:sz w:val="24"/>
          <w:szCs w:val="32"/>
        </w:rPr>
        <w:t xml:space="preserve">第十条</w:t>
      </w:r>
      <w:r>
        <w:rPr>
          <w:rFonts w:hint="eastAsia"/>
          <w:b/>
          <w:bCs/>
          <w:color w:val="000000"/>
          <w:sz w:val="24"/>
          <w:szCs w:val="32"/>
        </w:rPr>
        <w:t xml:space="preserve"> </w:t>
      </w:r>
      <w:r>
        <w:rPr>
          <w:rFonts w:hint="eastAsia"/>
          <w:b/>
          <w:bCs/>
          <w:color w:val="000000"/>
          <w:sz w:val="24"/>
          <w:szCs w:val="32"/>
        </w:rPr>
        <w:t xml:space="preserve">合同的转让</w:t>
      </w:r>
      <w:r/>
    </w:p>
    <w:p>
      <w:pPr>
        <w:ind w:firstLine="480"/>
        <w:spacing w:line="360" w:lineRule="auto"/>
        <w:rPr>
          <w:color w:val="000000"/>
          <w:sz w:val="24"/>
          <w:szCs w:val="32"/>
        </w:rPr>
      </w:pPr>
      <w:r>
        <w:rPr>
          <w:rFonts w:hint="eastAsia"/>
          <w:color w:val="000000"/>
          <w:sz w:val="24"/>
          <w:szCs w:val="32"/>
        </w:rPr>
        <w:t xml:space="preserve">乙方不得擅自部分或全部转让其应履行的合同义务；</w:t>
      </w:r>
      <w:r/>
    </w:p>
    <w:p>
      <w:pPr>
        <w:ind w:firstLine="482"/>
        <w:spacing w:line="360" w:lineRule="auto"/>
        <w:rPr>
          <w:color w:val="000000"/>
          <w:sz w:val="24"/>
          <w:szCs w:val="32"/>
        </w:rPr>
      </w:pPr>
      <w:r>
        <w:rPr>
          <w:rFonts w:hint="eastAsia"/>
          <w:b/>
          <w:bCs/>
          <w:color w:val="000000"/>
          <w:sz w:val="24"/>
          <w:szCs w:val="32"/>
        </w:rPr>
        <w:t xml:space="preserve">第十一条</w:t>
      </w:r>
      <w:r>
        <w:rPr>
          <w:rFonts w:hint="eastAsia"/>
          <w:b/>
          <w:bCs/>
          <w:color w:val="000000"/>
          <w:sz w:val="24"/>
          <w:szCs w:val="32"/>
        </w:rPr>
        <w:t xml:space="preserve"> </w:t>
      </w:r>
      <w:r>
        <w:rPr>
          <w:rFonts w:hint="eastAsia"/>
          <w:b/>
          <w:bCs/>
          <w:color w:val="000000"/>
          <w:sz w:val="24"/>
          <w:szCs w:val="32"/>
        </w:rPr>
        <w:t xml:space="preserve">争议的解决</w:t>
      </w:r>
      <w:r/>
    </w:p>
    <w:p>
      <w:pPr>
        <w:ind w:firstLine="480"/>
        <w:spacing w:line="360" w:lineRule="auto"/>
        <w:rPr>
          <w:color w:val="000000"/>
          <w:sz w:val="24"/>
          <w:szCs w:val="32"/>
        </w:rPr>
      </w:pPr>
      <w:r>
        <w:rPr>
          <w:rFonts w:hint="eastAsia"/>
          <w:color w:val="000000"/>
          <w:sz w:val="24"/>
          <w:szCs w:val="32"/>
        </w:rPr>
        <w:t xml:space="preserve">1</w:t>
      </w:r>
      <w:r>
        <w:rPr>
          <w:rFonts w:hint="eastAsia"/>
          <w:color w:val="000000"/>
          <w:sz w:val="24"/>
          <w:szCs w:val="32"/>
        </w:rPr>
        <w:t xml:space="preserve">、因履行本合同引起的或与本合同有关的争议，甲、乙双方应首先通过友好协商解决，如果协商不能解决争议，则采取以下第（</w:t>
      </w:r>
      <w:r>
        <w:rPr>
          <w:rFonts w:hint="eastAsia"/>
          <w:color w:val="000000"/>
          <w:sz w:val="24"/>
          <w:szCs w:val="32"/>
        </w:rPr>
        <w:t xml:space="preserve">1</w:t>
      </w:r>
      <w:r>
        <w:rPr>
          <w:rFonts w:hint="eastAsia"/>
          <w:color w:val="000000"/>
          <w:sz w:val="24"/>
          <w:szCs w:val="32"/>
        </w:rPr>
        <w:t xml:space="preserve">）种方式解决争议：</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1</w:t>
      </w:r>
      <w:r>
        <w:rPr>
          <w:rFonts w:hint="eastAsia"/>
          <w:color w:val="000000"/>
          <w:sz w:val="24"/>
          <w:szCs w:val="32"/>
        </w:rPr>
        <w:t xml:space="preserve">）向甲方所在地有管辖权的人民法院提起诉讼；</w:t>
      </w:r>
      <w:r/>
    </w:p>
    <w:p>
      <w:pPr>
        <w:ind w:firstLine="480"/>
        <w:spacing w:line="360" w:lineRule="auto"/>
        <w:rPr>
          <w:color w:val="000000"/>
          <w:sz w:val="24"/>
          <w:szCs w:val="32"/>
        </w:rPr>
      </w:pPr>
      <w:r>
        <w:rPr>
          <w:rFonts w:hint="eastAsia"/>
          <w:color w:val="000000"/>
          <w:sz w:val="24"/>
          <w:szCs w:val="32"/>
        </w:rPr>
        <w:t xml:space="preserve">（</w:t>
      </w:r>
      <w:r>
        <w:rPr>
          <w:rFonts w:hint="eastAsia"/>
          <w:color w:val="000000"/>
          <w:sz w:val="24"/>
          <w:szCs w:val="32"/>
        </w:rPr>
        <w:t xml:space="preserve">2</w:t>
      </w:r>
      <w:r>
        <w:rPr>
          <w:rFonts w:hint="eastAsia"/>
          <w:color w:val="000000"/>
          <w:sz w:val="24"/>
          <w:szCs w:val="32"/>
        </w:rPr>
        <w:t xml:space="preserve">）向南京市浦口区仲裁委员会按其仲裁规则申请仲裁；</w:t>
      </w:r>
      <w:r/>
    </w:p>
    <w:p>
      <w:pPr>
        <w:ind w:firstLine="480"/>
        <w:spacing w:line="360" w:lineRule="auto"/>
        <w:rPr>
          <w:color w:val="000000"/>
          <w:sz w:val="24"/>
          <w:szCs w:val="32"/>
        </w:rPr>
      </w:pPr>
      <w:r>
        <w:rPr>
          <w:rFonts w:hint="eastAsia"/>
          <w:color w:val="000000"/>
          <w:sz w:val="24"/>
          <w:szCs w:val="32"/>
        </w:rPr>
        <w:t xml:space="preserve">如没有约定，默认采取第</w:t>
      </w:r>
      <w:r>
        <w:rPr>
          <w:rFonts w:hint="eastAsia"/>
          <w:color w:val="000000"/>
          <w:sz w:val="24"/>
          <w:szCs w:val="32"/>
        </w:rPr>
        <w:t xml:space="preserve">2</w:t>
      </w:r>
      <w:r>
        <w:rPr>
          <w:rFonts w:hint="eastAsia"/>
          <w:color w:val="000000"/>
          <w:sz w:val="24"/>
          <w:szCs w:val="32"/>
        </w:rPr>
        <w:t xml:space="preserve">种方式解决争议；</w:t>
      </w:r>
      <w:r/>
    </w:p>
    <w:p>
      <w:pPr>
        <w:ind w:firstLine="480"/>
        <w:spacing w:line="360" w:lineRule="auto"/>
        <w:rPr>
          <w:color w:val="000000"/>
          <w:sz w:val="24"/>
          <w:szCs w:val="32"/>
        </w:rPr>
      </w:pPr>
      <w:r>
        <w:rPr>
          <w:rFonts w:hint="eastAsia"/>
          <w:color w:val="000000"/>
          <w:sz w:val="24"/>
          <w:szCs w:val="32"/>
        </w:rPr>
        <w:t xml:space="preserve">2</w:t>
      </w:r>
      <w:r>
        <w:rPr>
          <w:rFonts w:hint="eastAsia"/>
          <w:color w:val="000000"/>
          <w:sz w:val="24"/>
          <w:szCs w:val="32"/>
        </w:rPr>
        <w:t xml:space="preserve">、在仲裁期间，本合同应继续履行；</w:t>
      </w:r>
      <w:r/>
    </w:p>
    <w:p>
      <w:pPr>
        <w:ind w:firstLine="482"/>
        <w:spacing w:line="360" w:lineRule="auto"/>
        <w:rPr>
          <w:b/>
          <w:bCs/>
          <w:color w:val="000000"/>
          <w:sz w:val="24"/>
          <w:szCs w:val="32"/>
        </w:rPr>
      </w:pPr>
      <w:r>
        <w:rPr>
          <w:rFonts w:hint="eastAsia"/>
          <w:b/>
          <w:bCs/>
          <w:color w:val="000000"/>
          <w:sz w:val="24"/>
          <w:szCs w:val="32"/>
        </w:rPr>
        <w:t xml:space="preserve">第十二条诚实信用</w:t>
      </w:r>
      <w:r/>
    </w:p>
    <w:p>
      <w:pPr>
        <w:ind w:firstLine="480"/>
        <w:spacing w:line="360" w:lineRule="auto"/>
        <w:rPr>
          <w:color w:val="000000"/>
          <w:sz w:val="24"/>
          <w:szCs w:val="32"/>
        </w:rPr>
      </w:pPr>
      <w:r>
        <w:rPr>
          <w:rFonts w:hint="eastAsia"/>
          <w:color w:val="000000"/>
          <w:sz w:val="24"/>
          <w:szCs w:val="32"/>
        </w:rPr>
        <w:t xml:space="preserve">乙方应诚实信用，严格按照竞争性磋商文件要求和响应承诺履行合同，不向甲方进行商业贿赂或者提供不正当利益；</w:t>
      </w:r>
      <w:r/>
    </w:p>
    <w:p>
      <w:pPr>
        <w:ind w:firstLine="482"/>
        <w:spacing w:line="360" w:lineRule="auto"/>
        <w:rPr>
          <w:b/>
          <w:bCs/>
          <w:color w:val="000000"/>
          <w:sz w:val="24"/>
          <w:szCs w:val="32"/>
        </w:rPr>
      </w:pPr>
      <w:r>
        <w:rPr>
          <w:rFonts w:hint="eastAsia"/>
          <w:b/>
          <w:bCs/>
          <w:color w:val="000000"/>
          <w:sz w:val="24"/>
          <w:szCs w:val="32"/>
        </w:rPr>
        <w:t xml:space="preserve">第十三条</w:t>
      </w:r>
      <w:r>
        <w:rPr>
          <w:rFonts w:hint="eastAsia"/>
          <w:b/>
          <w:bCs/>
          <w:color w:val="000000"/>
          <w:sz w:val="24"/>
          <w:szCs w:val="32"/>
        </w:rPr>
        <w:t xml:space="preserve"> </w:t>
      </w:r>
      <w:r>
        <w:rPr>
          <w:rFonts w:hint="eastAsia"/>
          <w:b/>
          <w:bCs/>
          <w:color w:val="000000"/>
          <w:sz w:val="24"/>
          <w:szCs w:val="32"/>
        </w:rPr>
        <w:t xml:space="preserve">其他事项</w:t>
      </w:r>
      <w:r/>
    </w:p>
    <w:p>
      <w:pPr>
        <w:ind w:firstLine="480"/>
        <w:spacing w:line="360" w:lineRule="auto"/>
        <w:rPr>
          <w:color w:val="000000"/>
          <w:sz w:val="24"/>
          <w:szCs w:val="32"/>
        </w:rPr>
      </w:pPr>
      <w:r>
        <w:rPr>
          <w:rFonts w:hint="eastAsia"/>
          <w:color w:val="000000"/>
          <w:sz w:val="24"/>
          <w:szCs w:val="32"/>
        </w:rPr>
        <w:t xml:space="preserve">1</w:t>
      </w:r>
      <w:r>
        <w:rPr>
          <w:rFonts w:hint="eastAsia"/>
          <w:color w:val="000000"/>
          <w:sz w:val="24"/>
          <w:szCs w:val="32"/>
        </w:rPr>
        <w:t xml:space="preserve">、甲乙双方在履行合同中发生矛盾及纠纷时，明确责任后，违约、滞纳金，由违约方在柒日内支付给对方；</w:t>
      </w:r>
      <w:r/>
    </w:p>
    <w:p>
      <w:pPr>
        <w:ind w:firstLine="480"/>
        <w:spacing w:line="360" w:lineRule="auto"/>
        <w:rPr>
          <w:color w:val="000000"/>
          <w:sz w:val="24"/>
          <w:szCs w:val="32"/>
        </w:rPr>
      </w:pPr>
      <w:r>
        <w:rPr>
          <w:rFonts w:hint="eastAsia"/>
          <w:color w:val="000000"/>
          <w:sz w:val="24"/>
          <w:szCs w:val="32"/>
        </w:rPr>
        <w:t xml:space="preserve">2</w:t>
      </w:r>
      <w:r>
        <w:rPr>
          <w:rFonts w:hint="eastAsia"/>
          <w:color w:val="000000"/>
          <w:sz w:val="24"/>
          <w:szCs w:val="32"/>
        </w:rPr>
        <w:t xml:space="preserve">、本合同一式陆份，甲乙双方各执贰份</w:t>
      </w:r>
      <w:r>
        <w:rPr>
          <w:rFonts w:hint="eastAsia"/>
          <w:sz w:val="24"/>
          <w:szCs w:val="32"/>
        </w:rPr>
        <w:t xml:space="preserve">，</w:t>
      </w:r>
      <w:r>
        <w:rPr>
          <w:rFonts w:hint="eastAsia"/>
          <w:color w:val="000000"/>
          <w:sz w:val="24"/>
          <w:szCs w:val="32"/>
        </w:rPr>
        <w:t xml:space="preserve">壹份报送政府采购监督管理部门备案；</w:t>
      </w:r>
      <w:r/>
    </w:p>
    <w:p>
      <w:pPr>
        <w:ind w:firstLine="480"/>
        <w:spacing w:line="360" w:lineRule="auto"/>
        <w:rPr>
          <w:color w:val="000000"/>
          <w:sz w:val="24"/>
          <w:szCs w:val="32"/>
        </w:rPr>
      </w:pPr>
      <w:r>
        <w:rPr>
          <w:rFonts w:hint="eastAsia"/>
          <w:color w:val="000000"/>
          <w:sz w:val="24"/>
          <w:szCs w:val="32"/>
        </w:rPr>
        <w:t xml:space="preserve">3</w:t>
      </w:r>
      <w:r>
        <w:rPr>
          <w:rFonts w:hint="eastAsia"/>
          <w:color w:val="000000"/>
          <w:sz w:val="24"/>
          <w:szCs w:val="32"/>
        </w:rPr>
        <w:t xml:space="preserve">、本合同应按照中华人民共和国的现行法律进行解释；</w:t>
      </w:r>
      <w:r/>
    </w:p>
    <w:p>
      <w:pPr>
        <w:ind w:firstLine="480"/>
        <w:spacing w:line="360" w:lineRule="auto"/>
        <w:rPr>
          <w:bCs/>
          <w:color w:val="000000"/>
          <w:sz w:val="24"/>
          <w:szCs w:val="32"/>
        </w:rPr>
      </w:pPr>
      <w:r>
        <w:rPr>
          <w:rFonts w:hint="eastAsia"/>
          <w:bCs/>
          <w:color w:val="000000"/>
          <w:sz w:val="24"/>
          <w:szCs w:val="32"/>
        </w:rPr>
        <w:t xml:space="preserve">4</w:t>
      </w:r>
      <w:r>
        <w:rPr>
          <w:rFonts w:hint="eastAsia"/>
          <w:bCs/>
          <w:color w:val="000000"/>
          <w:sz w:val="24"/>
          <w:szCs w:val="32"/>
        </w:rPr>
        <w:t xml:space="preserve">、本合同一经双方签字盖章后，即发生法律效力；</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开户银行：</w:t>
            </w:r>
            <w:r/>
          </w:p>
        </w:tc>
      </w:tr>
      <w:tr>
        <w:trPr>
          <w:trHeight w:val="651"/>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color w:val="000000"/>
                <w:sz w:val="24"/>
                <w:szCs w:val="32"/>
              </w:rPr>
            </w:pPr>
            <w:r>
              <w:rPr>
                <w:rFonts w:hint="eastAsia"/>
                <w:color w:val="000000"/>
                <w:sz w:val="24"/>
                <w:szCs w:val="32"/>
              </w:rPr>
              <w:t xml:space="preserve">帐号：</w:t>
            </w:r>
            <w:r/>
          </w:p>
          <w:p>
            <w:pPr>
              <w:spacing w:line="360" w:lineRule="auto"/>
              <w:rPr>
                <w:color w:val="000000"/>
                <w:sz w:val="24"/>
                <w:szCs w:val="32"/>
              </w:rPr>
            </w:pPr>
            <w:r>
              <w:rPr>
                <w:color w:val="000000"/>
                <w:sz w:val="24"/>
                <w:szCs w:val="32"/>
              </w:rPr>
            </w:r>
            <w:r/>
          </w:p>
          <w:p>
            <w:pPr>
              <w:spacing w:line="360" w:lineRule="auto"/>
              <w:rPr>
                <w:color w:val="000000"/>
                <w:sz w:val="24"/>
                <w:szCs w:val="32"/>
              </w:rPr>
            </w:pPr>
            <w:r>
              <w:rPr>
                <w:color w:val="000000"/>
                <w:sz w:val="24"/>
                <w:szCs w:val="32"/>
              </w:rPr>
            </w:r>
            <w:r/>
          </w:p>
        </w:tc>
      </w:tr>
    </w:tbl>
    <w:p>
      <w:pPr>
        <w:keepLines/>
        <w:keepNext/>
        <w:spacing w:before="280" w:after="290" w:line="360" w:lineRule="auto"/>
        <w:rPr>
          <w:rFonts w:hint="eastAsia" w:ascii="宋体" w:hAnsi="宋体" w:cs="宋体"/>
          <w:b/>
          <w:sz w:val="28"/>
          <w:szCs w:val="20"/>
        </w:rPr>
        <w:outlineLvl w:val="3"/>
      </w:pPr>
      <w:r>
        <w:rPr>
          <w:rFonts w:hint="eastAsia" w:ascii="宋体" w:hAnsi="宋体" w:cs="宋体"/>
          <w:b/>
          <w:sz w:val="28"/>
          <w:szCs w:val="20"/>
        </w:rPr>
      </w:r>
      <w:r/>
    </w:p>
    <w:p>
      <w:pPr>
        <w:ind w:firstLine="4800"/>
        <w:spacing w:before="120" w:after="120" w:line="360" w:lineRule="auto"/>
        <w:rPr>
          <w:rFonts w:hint="eastAsia" w:ascii="宋体" w:hAnsi="宋体" w:cs="仿宋"/>
          <w:sz w:val="24"/>
          <w:szCs w:val="24"/>
        </w:rPr>
      </w:pPr>
      <w:r>
        <w:rPr>
          <w:rFonts w:hint="eastAsia" w:ascii="宋体" w:hAnsi="宋体" w:cs="仿宋"/>
          <w:sz w:val="24"/>
          <w:szCs w:val="24"/>
        </w:rPr>
      </w:r>
      <w:r/>
    </w:p>
    <w:p>
      <w:pPr>
        <w:jc w:val="left"/>
        <w:widowControl/>
        <w:rPr>
          <w:rFonts w:hint="eastAsia" w:ascii="仿宋" w:hAnsi="仿宋" w:eastAsia="仿宋" w:cs="仿宋"/>
          <w:b/>
          <w:sz w:val="24"/>
          <w:szCs w:val="24"/>
          <w:highlight w:val="white"/>
        </w:rPr>
      </w:pPr>
      <w:r>
        <w:rPr>
          <w:rFonts w:hint="eastAsia" w:ascii="仿宋" w:hAnsi="仿宋" w:eastAsia="仿宋" w:cs="仿宋"/>
          <w:b/>
          <w:sz w:val="24"/>
          <w:szCs w:val="24"/>
          <w:highlight w:val="white"/>
        </w:rPr>
        <w:br w:type="page" w:clear="all"/>
      </w:r>
      <w:r/>
    </w:p>
    <w:p>
      <w:pPr>
        <w:jc w:val="center"/>
        <w:spacing w:line="360" w:lineRule="auto"/>
        <w:rPr>
          <w:rFonts w:hint="eastAsia" w:ascii="仿宋" w:hAnsi="仿宋" w:eastAsia="仿宋" w:cs="仿宋"/>
          <w:bCs/>
          <w:sz w:val="24"/>
          <w:szCs w:val="24"/>
          <w:highlight w:val="white"/>
        </w:rPr>
      </w:pPr>
      <w:r>
        <w:rPr>
          <w:rFonts w:hint="eastAsia" w:ascii="仿宋" w:hAnsi="仿宋" w:eastAsia="仿宋" w:cs="仿宋"/>
          <w:b/>
          <w:bCs/>
          <w:sz w:val="24"/>
          <w:szCs w:val="24"/>
          <w:highlight w:val="white"/>
        </w:rPr>
        <w:t xml:space="preserve">第</w:t>
      </w:r>
      <w:bookmarkEnd w:id="39"/>
      <w:r>
        <w:rPr>
          <w:rFonts w:hint="eastAsia" w:ascii="仿宋" w:hAnsi="仿宋" w:eastAsia="仿宋" w:cs="仿宋"/>
          <w:b/>
          <w:bCs/>
          <w:sz w:val="24"/>
          <w:szCs w:val="24"/>
          <w:highlight w:val="white"/>
        </w:rPr>
        <w:t xml:space="preserve">四章 采购需求</w:t>
      </w:r>
      <w:bookmarkStart w:id="175" w:name="_Toc49090575"/>
      <w:r/>
      <w:bookmarkStart w:id="176" w:name="_Toc26554093"/>
      <w:r/>
      <w:bookmarkEnd w:id="40"/>
      <w:r/>
      <w:bookmarkEnd w:id="41"/>
      <w:r/>
      <w:bookmarkEnd w:id="42"/>
      <w:r/>
      <w:r/>
    </w:p>
    <w:p>
      <w:pPr>
        <w:spacing w:line="360" w:lineRule="auto"/>
        <w:rPr>
          <w:rFonts w:hint="eastAsia" w:ascii="仿宋" w:hAnsi="仿宋" w:eastAsia="仿宋" w:cs="仿宋"/>
          <w:b/>
          <w:sz w:val="24"/>
          <w:szCs w:val="24"/>
          <w:highlight w:val="white"/>
        </w:rPr>
      </w:pPr>
      <w:r/>
      <w:bookmarkStart w:id="177" w:name="_Toc120614281"/>
      <w:r>
        <w:rPr>
          <w:rFonts w:hint="eastAsia" w:ascii="仿宋" w:hAnsi="仿宋" w:eastAsia="仿宋" w:cs="仿宋"/>
          <w:b/>
          <w:sz w:val="24"/>
          <w:szCs w:val="24"/>
          <w:highlight w:val="white"/>
        </w:rPr>
        <w:t xml:space="preserve">一、项目属性：</w:t>
      </w:r>
      <w:r>
        <w:rPr>
          <w:rFonts w:hint="eastAsia" w:ascii="仿宋" w:hAnsi="仿宋" w:eastAsia="仿宋" w:cs="仿宋"/>
          <w:bCs/>
          <w:sz w:val="24"/>
          <w:szCs w:val="24"/>
          <w:highlight w:val="white"/>
        </w:rPr>
        <w:t xml:space="preserve">服务类项目。</w:t>
      </w:r>
      <w:r/>
    </w:p>
    <w:p>
      <w:pPr>
        <w:numPr>
          <w:ilvl w:val="0"/>
          <w:numId w:val="5"/>
        </w:numP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项目概况：</w:t>
      </w:r>
      <w:r/>
    </w:p>
    <w:p>
      <w:pPr>
        <w:spacing w:line="360" w:lineRule="auto"/>
        <w:rPr>
          <w:rFonts w:hint="eastAsia" w:ascii="仿宋" w:hAnsi="仿宋" w:eastAsia="仿宋" w:cs="仿宋"/>
          <w:sz w:val="24"/>
          <w:szCs w:val="24"/>
          <w:highlight w:val="white"/>
        </w:rPr>
      </w:pPr>
      <w:r>
        <w:rPr>
          <w:rFonts w:hint="eastAsia" w:ascii="仿宋" w:hAnsi="仿宋" w:eastAsia="仿宋" w:cs="仿宋"/>
          <w:bCs/>
          <w:sz w:val="24"/>
          <w:szCs w:val="24"/>
        </w:rPr>
        <w:t xml:space="preserve">（一）项目名称：</w:t>
      </w:r>
      <w:r>
        <w:rPr>
          <w:rFonts w:hint="eastAsia" w:ascii="仿宋" w:hAnsi="仿宋" w:eastAsia="仿宋" w:cs="仿宋"/>
          <w:sz w:val="24"/>
          <w:szCs w:val="24"/>
          <w:highlight w:val="white"/>
        </w:rPr>
        <w:t xml:space="preserve">2025-2026年浦口区白蚁防治服务项目</w:t>
      </w:r>
      <w:r/>
    </w:p>
    <w:p>
      <w:pPr>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（二）</w:t>
      </w:r>
      <w:r>
        <w:rPr>
          <w:rFonts w:hint="eastAsia" w:ascii="仿宋" w:hAnsi="仿宋" w:eastAsia="仿宋" w:cs="仿宋"/>
          <w:bCs/>
          <w:sz w:val="24"/>
          <w:szCs w:val="24"/>
        </w:rPr>
        <w:t xml:space="preserve">项目内容：</w:t>
      </w:r>
      <w:r>
        <w:rPr>
          <w:rFonts w:hint="eastAsia" w:ascii="仿宋" w:hAnsi="仿宋" w:eastAsia="仿宋" w:cs="仿宋"/>
          <w:sz w:val="24"/>
          <w:szCs w:val="24"/>
          <w:highlight w:val="white"/>
        </w:rPr>
        <w:t xml:space="preserve">本项目是</w:t>
      </w:r>
      <w:r>
        <w:rPr>
          <w:rFonts w:hint="eastAsia" w:ascii="仿宋" w:hAnsi="仿宋" w:eastAsia="仿宋" w:cs="仿宋"/>
          <w:sz w:val="24"/>
          <w:szCs w:val="24"/>
          <w:shd w:val="clear" w:color="auto" w:fill="ffffff"/>
        </w:rPr>
        <w:t xml:space="preserve">对全区27座水库、浦口区堤防等白蚁日常防治、检查管理工作</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（三）服务期限：</w:t>
      </w:r>
      <w:r>
        <w:rPr>
          <w:rFonts w:hint="eastAsia" w:ascii="仿宋" w:hAnsi="仿宋" w:eastAsia="仿宋" w:cs="仿宋"/>
          <w:bCs/>
          <w:sz w:val="24"/>
          <w:szCs w:val="24"/>
        </w:rPr>
        <w:t xml:space="preserve">此项目执行“一采多年”，合同一年一签。合同生效之日起一年期满后，采购人有权根据供应商的</w:t>
      </w:r>
      <w:r>
        <w:rPr>
          <w:rFonts w:hint="eastAsia" w:ascii="仿宋" w:hAnsi="仿宋" w:eastAsia="仿宋" w:cs="仿宋"/>
          <w:bCs/>
          <w:sz w:val="24"/>
          <w:szCs w:val="24"/>
        </w:rPr>
        <w:t xml:space="preserve">履约考核情况以及政府采购相关政策决定</w:t>
      </w:r>
      <w:r>
        <w:rPr>
          <w:rFonts w:hint="eastAsia" w:ascii="仿宋" w:hAnsi="仿宋" w:eastAsia="仿宋" w:cs="仿宋"/>
          <w:bCs/>
          <w:sz w:val="24"/>
          <w:szCs w:val="24"/>
        </w:rPr>
        <w:t xml:space="preserve">是否与中标供应商签订后续服务合同或另行采购，续签合同期限一次一年，续签不超过两次</w:t>
      </w:r>
      <w:r>
        <w:rPr>
          <w:rFonts w:hint="eastAsia" w:ascii="仿宋" w:hAnsi="仿宋" w:eastAsia="仿宋" w:cs="仿宋"/>
          <w:bCs/>
          <w:sz w:val="24"/>
          <w:szCs w:val="24"/>
        </w:rPr>
        <w:t xml:space="preserve">。</w:t>
      </w:r>
      <w:r/>
    </w:p>
    <w:p>
      <w:pPr>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三、项目内容：</w:t>
      </w:r>
      <w:bookmarkStart w:id="178" w:name="_Toc9696_WPSOffice_Level2"/>
      <w:r/>
      <w:r/>
    </w:p>
    <w:p>
      <w:pPr>
        <w:ind w:firstLine="482"/>
        <w:jc w:val="left"/>
        <w:spacing w:line="360" w:lineRule="auto"/>
        <w:rPr>
          <w:rFonts w:hint="eastAsia" w:ascii="仿宋" w:hAnsi="仿宋" w:eastAsia="仿宋" w:cs="仿宋"/>
          <w:bCs/>
          <w:sz w:val="24"/>
          <w:szCs w:val="24"/>
        </w:rPr>
      </w:pPr>
      <w:r>
        <w:rPr>
          <w:rFonts w:hint="eastAsia" w:ascii="仿宋" w:hAnsi="仿宋" w:eastAsia="仿宋" w:cs="仿宋"/>
          <w:b/>
          <w:sz w:val="24"/>
          <w:szCs w:val="24"/>
          <w:highlight w:val="white"/>
        </w:rPr>
        <w:t xml:space="preserve">1.</w:t>
      </w:r>
      <w:r>
        <w:rPr>
          <w:rFonts w:hint="eastAsia" w:ascii="仿宋" w:hAnsi="仿宋" w:eastAsia="仿宋" w:cs="仿宋"/>
          <w:b/>
          <w:sz w:val="24"/>
          <w:szCs w:val="24"/>
        </w:rPr>
        <w:t xml:space="preserve">服务范围与标准：</w:t>
      </w:r>
      <w:r>
        <w:rPr>
          <w:rFonts w:hint="eastAsia" w:ascii="仿宋" w:hAnsi="仿宋" w:eastAsia="仿宋" w:cs="仿宋"/>
          <w:bCs/>
          <w:sz w:val="24"/>
          <w:szCs w:val="24"/>
        </w:rPr>
        <w:t xml:space="preserve">①服务范围涵盖全区 27座水库、113.54 公里堤防全范围普查；全区 27座水库、滁河、清流河、石碛河等 98.1 公里堤防白蚁日常防治（普投药约5万5千包、布桩约3万5千根、定点定位带药灌浆约2公里或不少于3000个孔、蚁巢开挖活捉蚁王蚁后不少于100个（如涉及到交</w:t>
      </w:r>
      <w:r>
        <w:rPr>
          <w:rFonts w:hint="eastAsia" w:ascii="仿宋" w:hAnsi="仿宋" w:eastAsia="仿宋" w:cs="仿宋"/>
          <w:bCs/>
          <w:sz w:val="24"/>
          <w:szCs w:val="24"/>
        </w:rPr>
        <w:t xml:space="preserve">通要道需3日内恢复）夯实回填恢复原貌）。每年至少提供2个直径50公分以上的蚁巢标本。②服务标准严格遵循《水利工程白蚁防治技术指南（试行）》《江苏省堤坝白蚁防治办法》及采购人制定的季度考核细则。严格遵循《水利工程白蚁防治技术规程》（SL/T 836—2024，2025年3月24日实施），该标准为国家最新技术规范。③危害等级评定：成交供应商在普查中需按《水利工程白蚁防治技术规程》（SL/T 836—2024）对蚁害划分Ⅰ–Ⅲ级，制定差异化管理清单，形成水利工程白蚁危害评定报告等成果文件，作为防治工作的重要依据。</w:t>
      </w:r>
      <w:r/>
    </w:p>
    <w:p>
      <w:pPr>
        <w:ind w:firstLine="482"/>
        <w:jc w:val="left"/>
        <w:spacing w:line="360" w:lineRule="auto"/>
        <w:rPr>
          <w:rFonts w:hint="eastAsia" w:ascii="仿宋" w:hAnsi="仿宋" w:eastAsia="仿宋" w:cs="仿宋"/>
          <w:bCs/>
          <w:sz w:val="24"/>
          <w:szCs w:val="24"/>
        </w:rPr>
      </w:pPr>
      <w:r>
        <w:rPr>
          <w:rFonts w:hint="eastAsia" w:ascii="仿宋" w:hAnsi="仿宋" w:eastAsia="仿宋" w:cs="仿宋"/>
          <w:b/>
          <w:sz w:val="24"/>
          <w:szCs w:val="24"/>
          <w:highlight w:val="white"/>
        </w:rPr>
        <w:t xml:space="preserve">2.</w:t>
      </w:r>
      <w:r>
        <w:rPr>
          <w:rFonts w:hint="eastAsia" w:ascii="仿宋" w:hAnsi="仿宋" w:eastAsia="仿宋" w:cs="仿宋"/>
          <w:b/>
          <w:sz w:val="24"/>
          <w:szCs w:val="24"/>
        </w:rPr>
        <w:t xml:space="preserve">日常管理约定：</w:t>
      </w:r>
      <w:r>
        <w:rPr>
          <w:rFonts w:hint="eastAsia" w:ascii="仿宋" w:hAnsi="仿宋" w:eastAsia="仿宋" w:cs="仿宋"/>
          <w:bCs/>
          <w:sz w:val="24"/>
          <w:szCs w:val="24"/>
        </w:rPr>
        <w:t xml:space="preserve">①成交供</w:t>
      </w:r>
      <w:r>
        <w:rPr>
          <w:rFonts w:hint="eastAsia" w:ascii="仿宋" w:hAnsi="仿宋" w:eastAsia="仿宋" w:cs="仿宋"/>
          <w:bCs/>
          <w:sz w:val="24"/>
          <w:szCs w:val="24"/>
        </w:rPr>
        <w:t xml:space="preserve">应商需每月5日前向采购人提交上月服务报告，包括检查记录（含检查照片、GPS定位、诱杀点位图等）、防治记录、白蚁活动情况分析等，报告需附电子台账及现场影像资料。②成交供应商应建立应急处置机制，接到采购人白蚁突发危害通知后，1 小时内到达现场处理，24 小时内提交处置方案。雨后24小时内增加检查次数，暴雨（降雨量≥50mm/24h）后，一周内完成全线隐患复查。③成交供应商使用的防治药物需符合国家及江苏省环保标准，每月上报药物使用清单。④项目人员：成交供应商白蚁防治服务现场的技术人员和现场负责人应与投标文件一致。</w:t>
      </w:r>
      <w:r/>
    </w:p>
    <w:p>
      <w:pPr>
        <w:ind w:firstLine="482"/>
        <w:jc w:val="left"/>
        <w:spacing w:line="360" w:lineRule="auto"/>
        <w:rPr>
          <w:rFonts w:hint="eastAsia" w:ascii="仿宋" w:hAnsi="仿宋" w:eastAsia="仿宋" w:cs="仿宋"/>
          <w:bCs/>
          <w:sz w:val="24"/>
          <w:szCs w:val="24"/>
        </w:rPr>
      </w:pPr>
      <w:r>
        <w:rPr>
          <w:rFonts w:hint="eastAsia" w:ascii="仿宋" w:hAnsi="仿宋" w:eastAsia="仿宋" w:cs="仿宋"/>
          <w:b/>
          <w:sz w:val="24"/>
          <w:szCs w:val="24"/>
        </w:rPr>
        <w:t xml:space="preserve">3.日常检查：</w:t>
      </w:r>
      <w:r>
        <w:rPr>
          <w:rFonts w:hint="eastAsia" w:ascii="仿宋" w:hAnsi="仿宋" w:eastAsia="仿宋" w:cs="仿宋"/>
          <w:bCs/>
          <w:sz w:val="24"/>
          <w:szCs w:val="24"/>
        </w:rPr>
        <w:t xml:space="preserve">每年4月至10月为白蚁外出活动期，其中5月至6月、9月至10月为白蚁外出活动高峰期。根据白蚁外出活动期，确定日常检查时间为4月至10月。发现有白蚁活动情况及时采取防治措施。</w:t>
      </w:r>
      <w:r/>
    </w:p>
    <w:p>
      <w:pPr>
        <w:pStyle w:val="728"/>
        <w:ind w:right="270" w:firstLine="482"/>
        <w:spacing w:before="238" w:line="360" w:lineRule="auto"/>
        <w:rPr>
          <w:rFonts w:hint="eastAsia" w:ascii="仿宋" w:hAnsi="仿宋" w:eastAsia="仿宋" w:cs="仿宋"/>
          <w:bCs/>
          <w:sz w:val="24"/>
          <w:szCs w:val="24"/>
        </w:rPr>
      </w:pPr>
      <w:r>
        <w:rPr>
          <w:rFonts w:hint="eastAsia" w:ascii="仿宋" w:hAnsi="仿宋" w:eastAsia="仿宋" w:cs="仿宋"/>
          <w:b/>
          <w:sz w:val="24"/>
          <w:szCs w:val="24"/>
        </w:rPr>
        <w:t xml:space="preserve">4.检查次数：</w:t>
      </w:r>
      <w:r>
        <w:rPr>
          <w:rFonts w:hint="eastAsia" w:ascii="仿宋" w:hAnsi="仿宋" w:eastAsia="仿宋" w:cs="仿宋"/>
          <w:bCs/>
          <w:sz w:val="24"/>
          <w:szCs w:val="24"/>
        </w:rPr>
        <w:t xml:space="preserve">蚁患区白蚁外出活动期每月检查不少于两次；白蚁外出活动高峰期每月检查不少于三次；蚁源区每月检查不少于一次；雨后应增加检查次数。</w:t>
      </w:r>
      <w:r/>
    </w:p>
    <w:p>
      <w:pPr>
        <w:pStyle w:val="728"/>
        <w:ind w:right="145" w:firstLine="482"/>
        <w:spacing w:before="222" w:line="360" w:lineRule="auto"/>
        <w:rPr>
          <w:rFonts w:hint="eastAsia" w:ascii="仿宋" w:hAnsi="仿宋" w:eastAsia="仿宋" w:cs="仿宋"/>
          <w:bCs/>
          <w:sz w:val="24"/>
          <w:szCs w:val="24"/>
        </w:rPr>
      </w:pPr>
      <w:r>
        <w:rPr>
          <w:rFonts w:hint="eastAsia" w:ascii="仿宋" w:hAnsi="仿宋" w:eastAsia="仿宋" w:cs="仿宋"/>
          <w:b/>
          <w:sz w:val="24"/>
          <w:szCs w:val="24"/>
        </w:rPr>
        <w:t xml:space="preserve">5.白蚁危害普查：</w:t>
      </w:r>
      <w:r>
        <w:rPr>
          <w:rFonts w:hint="eastAsia" w:ascii="仿宋" w:hAnsi="仿宋" w:eastAsia="仿宋" w:cs="仿宋"/>
          <w:bCs/>
          <w:sz w:val="24"/>
          <w:szCs w:val="24"/>
        </w:rPr>
        <w:t xml:space="preserve">对全区27座水库、113.54 公里堤防白蚁危害情况进行全覆盖普查（详见任务清单），春季和秋季各进行一次，摸清有害白蚁种类、活动规律、危害程度、发展趋势等，划分Ⅰ–Ⅲ级，建立防治分类清单。</w:t>
      </w:r>
      <w:r/>
    </w:p>
    <w:p>
      <w:pPr>
        <w:pStyle w:val="728"/>
        <w:ind w:right="145" w:firstLine="482"/>
        <w:spacing w:before="222" w:line="360" w:lineRule="auto"/>
        <w:rPr>
          <w:rFonts w:hint="eastAsia" w:ascii="仿宋" w:hAnsi="仿宋" w:eastAsia="仿宋" w:cs="仿宋"/>
          <w:bCs/>
          <w:sz w:val="24"/>
          <w:szCs w:val="24"/>
        </w:rPr>
      </w:pPr>
      <w:r>
        <w:rPr>
          <w:rFonts w:hint="eastAsia" w:ascii="仿宋" w:hAnsi="仿宋" w:eastAsia="仿宋" w:cs="仿宋"/>
          <w:b/>
          <w:sz w:val="24"/>
          <w:szCs w:val="24"/>
        </w:rPr>
        <w:t xml:space="preserve">6.日常防治：</w:t>
      </w:r>
      <w:r>
        <w:rPr>
          <w:rFonts w:hint="eastAsia" w:ascii="仿宋" w:hAnsi="仿宋" w:eastAsia="仿宋" w:cs="仿宋"/>
          <w:bCs/>
          <w:sz w:val="24"/>
          <w:szCs w:val="24"/>
        </w:rPr>
        <w:t xml:space="preserve">对全区27座水库、滁河、清流河、石碛河等98.1公里堤防白蚁日常防治（详见任务清单），对水库、堤防采用饵剂诱杀法、挖巢法、药物灌浆法等措施开展日常防治。白蚁外出活动高峰期（5月至6月、9月至10月）需开展布桩普投等防治工作（普投药约5万5千包、布桩约3万5千根、定点定位带药灌浆约2公里或不少于3000个孔、蚁巢开挖活捉蚁王蚁后不少于100个），引诱桩或堆、坑，水库大坝背水坡面约每50m</w:t>
      </w:r>
      <w:r>
        <w:rPr>
          <w:rFonts w:ascii="Calibri" w:hAnsi="Calibri" w:eastAsia="仿宋" w:cs="Calibri"/>
          <w:bCs/>
          <w:sz w:val="24"/>
          <w:szCs w:val="24"/>
        </w:rPr>
        <w:t xml:space="preserve">²</w:t>
      </w:r>
      <w:r>
        <w:rPr>
          <w:rFonts w:hint="eastAsia" w:ascii="仿宋" w:hAnsi="仿宋" w:eastAsia="仿宋" w:cs="仿宋"/>
          <w:bCs/>
          <w:sz w:val="24"/>
          <w:szCs w:val="24"/>
        </w:rPr>
        <w:t xml:space="preserve">一根(处),堤防背水坡每100m不少于20根(处)。如遇引诱桩缺失，需要及时补设。</w:t>
      </w:r>
      <w:r/>
    </w:p>
    <w:p>
      <w:pPr>
        <w:pStyle w:val="728"/>
        <w:ind w:right="48" w:firstLine="624"/>
        <w:spacing w:before="25" w:line="360" w:lineRule="auto"/>
        <w:rPr>
          <w:rFonts w:hint="eastAsia" w:ascii="仿宋" w:hAnsi="仿宋" w:eastAsia="仿宋" w:cs="仿宋"/>
          <w:bCs/>
          <w:sz w:val="24"/>
          <w:szCs w:val="24"/>
        </w:rPr>
      </w:pPr>
      <w:r>
        <w:rPr>
          <w:rFonts w:hint="eastAsia" w:ascii="仿宋" w:hAnsi="仿宋" w:eastAsia="仿宋" w:cs="仿宋"/>
          <w:b/>
          <w:sz w:val="24"/>
          <w:szCs w:val="24"/>
        </w:rPr>
        <w:t xml:space="preserve">7.复查验收：</w:t>
      </w:r>
      <w:r>
        <w:rPr>
          <w:rFonts w:hint="eastAsia" w:ascii="仿宋" w:hAnsi="仿宋" w:eastAsia="仿宋" w:cs="仿宋"/>
          <w:bCs/>
          <w:sz w:val="24"/>
          <w:szCs w:val="24"/>
        </w:rPr>
        <w:t xml:space="preserve">在2026年12月前，完成2026年白蚁达控复查验收任务。验收标准：蚁患区无成年巢白蚁活动迹象，幼龄巢白蚁活动迹象10000m²内不得超过3处；蚁源区无成年巢白蚁活动迹象；流域性堤防300m-500m、小型水库100m-300m范围内白蚁活动迹象不超过10处；引诱桩或堆、坑，水库大坝背水坡面约每50m</w:t>
      </w:r>
      <w:r>
        <w:rPr>
          <w:rFonts w:ascii="Calibri" w:hAnsi="Calibri" w:eastAsia="仿宋" w:cs="Calibri"/>
          <w:bCs/>
          <w:sz w:val="24"/>
          <w:szCs w:val="24"/>
        </w:rPr>
        <w:t xml:space="preserve">²</w:t>
      </w:r>
      <w:r>
        <w:rPr>
          <w:rFonts w:hint="eastAsia" w:ascii="仿宋" w:hAnsi="仿宋" w:eastAsia="仿宋" w:cs="仿宋"/>
          <w:bCs/>
          <w:sz w:val="24"/>
          <w:szCs w:val="24"/>
        </w:rPr>
        <w:t xml:space="preserve">一根(处),堤防背水坡每100m不少于20根(处)。</w:t>
      </w:r>
      <w:r/>
    </w:p>
    <w:p>
      <w:pPr>
        <w:pStyle w:val="728"/>
        <w:ind w:right="48" w:firstLine="624"/>
        <w:spacing w:before="25" w:line="360" w:lineRule="auto"/>
        <w:rPr>
          <w:rFonts w:hint="eastAsia" w:ascii="仿宋" w:hAnsi="仿宋" w:eastAsia="仿宋" w:cs="仿宋"/>
          <w:bCs/>
          <w:sz w:val="24"/>
          <w:szCs w:val="24"/>
        </w:rPr>
      </w:pPr>
      <w:r>
        <w:rPr>
          <w:rFonts w:hint="eastAsia" w:ascii="仿宋" w:hAnsi="仿宋" w:eastAsia="仿宋" w:cs="仿宋"/>
          <w:b/>
          <w:sz w:val="24"/>
          <w:szCs w:val="24"/>
        </w:rPr>
        <w:t xml:space="preserve">8.资料整编：</w:t>
      </w:r>
      <w:r>
        <w:rPr>
          <w:rFonts w:hint="eastAsia" w:ascii="仿宋" w:hAnsi="仿宋" w:eastAsia="仿宋" w:cs="仿宋"/>
          <w:bCs/>
          <w:sz w:val="24"/>
          <w:szCs w:val="24"/>
        </w:rPr>
        <w:t xml:space="preserve">按照《水利工程白蚁防治技术指南(试行)》《江苏省堤坝白蚁防治办法》和《水利工程白蚁防治技术规程》要求，做好记录，完善档案。及时记录白蚁普查、日常防治、蚁巢破除及定点灌浆等情况。应将白蚁防治记录、防治工作计划和总结、验收等进行整编、归档。</w:t>
      </w:r>
      <w:r/>
    </w:p>
    <w:p>
      <w:pPr>
        <w:pStyle w:val="728"/>
        <w:ind w:right="48" w:firstLine="624"/>
        <w:spacing w:before="25" w:line="360" w:lineRule="auto"/>
        <w:rPr>
          <w:rFonts w:hint="eastAsia" w:ascii="仿宋" w:hAnsi="仿宋" w:eastAsia="仿宋" w:cs="仿宋"/>
          <w:b/>
          <w:sz w:val="24"/>
          <w:szCs w:val="24"/>
        </w:rPr>
      </w:pPr>
      <w:r>
        <w:rPr>
          <w:rFonts w:hint="eastAsia" w:ascii="仿宋" w:hAnsi="仿宋" w:eastAsia="仿宋" w:cs="仿宋"/>
          <w:b/>
          <w:sz w:val="24"/>
          <w:szCs w:val="24"/>
        </w:rPr>
        <w:t xml:space="preserve">注：具体</w:t>
      </w:r>
      <w:r>
        <w:rPr>
          <w:rFonts w:hint="eastAsia" w:ascii="仿宋" w:hAnsi="仿宋" w:eastAsia="仿宋" w:cs="仿宋"/>
          <w:b/>
          <w:sz w:val="24"/>
          <w:szCs w:val="24"/>
        </w:rPr>
        <w:t xml:space="preserve">服务</w:t>
      </w:r>
      <w:r>
        <w:rPr>
          <w:rFonts w:hint="eastAsia" w:ascii="仿宋" w:hAnsi="仿宋" w:eastAsia="仿宋" w:cs="仿宋"/>
          <w:b/>
          <w:sz w:val="24"/>
          <w:szCs w:val="24"/>
        </w:rPr>
        <w:t xml:space="preserve">工作内容将以届时发布的最新工作计划为准。</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四、报价说明：</w:t>
      </w:r>
      <w:bookmarkEnd w:id="178"/>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投标报价应是本采购文件所包含确定的全部工作内容</w:t>
      </w:r>
      <w:r>
        <w:rPr>
          <w:rFonts w:hint="eastAsia" w:ascii="仿宋" w:hAnsi="仿宋" w:eastAsia="仿宋" w:cs="仿宋"/>
          <w:bCs/>
          <w:sz w:val="24"/>
          <w:szCs w:val="24"/>
        </w:rPr>
        <w:t xml:space="preserve">及本采购文件未说明但完成该项目必须包含的所有全包费用的价格体现。各供应商根据本项目概况和采购人的有关要求，结合自身的经验，对本项目所需费用进行报价，供应商报价应包含招标文件所要求供应商完成本项目报告编制费、资料搜集和工作例会费、项目评审费、劳务费、设备费、管理费、材料费、运输装缷费、保险费、验收及验收合格之前保管的所有含税费用、支付给员工的工资和国家强制缴纳的各种社会保障资金以及应由供应商支付的规费及税金等一切费用、后期修订报告所需的费用。以上费用须包含在投标报价中，无论投标供应商是否单独列出，均视为已含在</w:t>
      </w:r>
      <w:r>
        <w:rPr>
          <w:rFonts w:hint="eastAsia" w:ascii="仿宋" w:hAnsi="仿宋" w:eastAsia="仿宋" w:cs="仿宋"/>
          <w:bCs/>
          <w:sz w:val="24"/>
          <w:szCs w:val="24"/>
        </w:rPr>
        <w:t xml:space="preserve">投标报价中，采购人不另行支付。</w:t>
      </w:r>
      <w:r/>
    </w:p>
    <w:p>
      <w:pPr>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备注:本项目金额以财政及主管部门实际下拨的预算经费金额为准，若因政策变动等原因，本项目实际下拨经费减少，最终费用结算按照投标中标费率*最终</w:t>
      </w:r>
      <w:r>
        <w:rPr>
          <w:rFonts w:hint="eastAsia" w:ascii="仿宋" w:hAnsi="仿宋" w:eastAsia="仿宋" w:cs="仿宋"/>
          <w:sz w:val="24"/>
          <w:szCs w:val="24"/>
          <w:lang w:val="zh-CN"/>
        </w:rPr>
        <w:t xml:space="preserve">下达金额，乙方不得以任何理由向甲方额外申请费用，也不得主张甲方违约或赔偿损失等其他诉求</w:t>
      </w:r>
      <w:r>
        <w:rPr>
          <w:rFonts w:hint="eastAsia" w:ascii="仿宋" w:hAnsi="仿宋" w:eastAsia="仿宋" w:cs="仿宋"/>
          <w:b/>
          <w:bCs/>
          <w:sz w:val="24"/>
          <w:szCs w:val="24"/>
          <w:lang w:val="zh-CN"/>
        </w:rPr>
        <w:t xml:space="preserve">（提供承诺函加盖公章）</w:t>
      </w:r>
      <w:r>
        <w:rPr>
          <w:rFonts w:hint="eastAsia" w:ascii="仿宋" w:hAnsi="仿宋" w:eastAsia="仿宋" w:cs="仿宋"/>
          <w:sz w:val="24"/>
          <w:szCs w:val="24"/>
          <w:lang w:val="zh-CN"/>
        </w:rPr>
        <w:t xml:space="preserve">。</w:t>
      </w:r>
      <w:r/>
    </w:p>
    <w:p>
      <w:pPr>
        <w:spacing w:line="360" w:lineRule="auto"/>
        <w:shd w:val="solid" w:color="ffffff" w:fill="auto"/>
        <w:tabs>
          <w:tab w:val="left" w:pos="540" w:leader="none"/>
        </w:tabs>
        <w:rPr>
          <w:rFonts w:hint="eastAsia" w:ascii="仿宋" w:hAnsi="仿宋" w:eastAsia="仿宋" w:cs="仿宋"/>
          <w:sz w:val="24"/>
          <w:szCs w:val="24"/>
        </w:rPr>
      </w:pPr>
      <w:r/>
      <w:bookmarkStart w:id="179" w:name="_Toc27074_WPSOffice_Level2"/>
      <w:r>
        <w:rPr>
          <w:rFonts w:hint="eastAsia" w:ascii="仿宋" w:hAnsi="仿宋" w:eastAsia="仿宋" w:cs="仿宋"/>
          <w:b/>
          <w:bCs/>
          <w:sz w:val="24"/>
          <w:szCs w:val="24"/>
        </w:rPr>
        <w:t xml:space="preserve">五、验收标准：</w:t>
      </w:r>
      <w:r/>
    </w:p>
    <w:p>
      <w:pPr>
        <w:spacing w:line="360" w:lineRule="auto"/>
        <w:shd w:val="solid" w:color="ffffff" w:fill="auto"/>
        <w:tabs>
          <w:tab w:val="left" w:pos="540" w:leader="none"/>
        </w:tabs>
        <w:rPr>
          <w:rFonts w:hint="eastAsia" w:ascii="仿宋" w:hAnsi="仿宋" w:eastAsia="仿宋" w:cs="仿宋"/>
          <w:b/>
          <w:bCs/>
          <w:sz w:val="24"/>
          <w:szCs w:val="24"/>
        </w:rPr>
      </w:pPr>
      <w:r>
        <w:rPr>
          <w:rFonts w:hint="eastAsia" w:ascii="仿宋" w:hAnsi="仿宋" w:eastAsia="仿宋" w:cs="仿宋"/>
          <w:bCs/>
          <w:sz w:val="24"/>
          <w:szCs w:val="24"/>
        </w:rPr>
        <w:t xml:space="preserve">    采购人采取任务下派方式开展工作，供应商</w:t>
      </w:r>
      <w:r>
        <w:rPr>
          <w:rFonts w:hint="eastAsia" w:ascii="仿宋" w:hAnsi="仿宋" w:eastAsia="仿宋" w:cs="仿宋"/>
          <w:sz w:val="24"/>
          <w:szCs w:val="24"/>
        </w:rPr>
        <w:t xml:space="preserve">根据任务要求完成相关工作，并提交成果，经跟踪审计及采购人验收确认后，即视为合格。如</w:t>
      </w:r>
      <w:r>
        <w:rPr>
          <w:rFonts w:hint="eastAsia" w:ascii="仿宋" w:hAnsi="仿宋" w:eastAsia="仿宋" w:cs="仿宋"/>
          <w:bCs/>
          <w:sz w:val="24"/>
          <w:szCs w:val="24"/>
        </w:rPr>
        <w:t xml:space="preserve">供应商</w:t>
      </w:r>
      <w:r>
        <w:rPr>
          <w:rFonts w:hint="eastAsia" w:ascii="仿宋" w:hAnsi="仿宋" w:eastAsia="仿宋" w:cs="仿宋"/>
          <w:sz w:val="24"/>
          <w:szCs w:val="24"/>
        </w:rPr>
        <w:t xml:space="preserve">提供的服务不符合采购文件要求和行业标准规定的，采购人有权拒收</w:t>
      </w:r>
      <w:r>
        <w:rPr>
          <w:rFonts w:hint="eastAsia" w:ascii="仿宋" w:hAnsi="仿宋" w:eastAsia="仿宋" w:cs="仿宋"/>
          <w:bCs/>
          <w:sz w:val="24"/>
          <w:szCs w:val="24"/>
        </w:rPr>
        <w:t xml:space="preserve">。</w:t>
      </w:r>
      <w:r/>
    </w:p>
    <w:p>
      <w:pPr>
        <w:spacing w:line="360" w:lineRule="auto"/>
        <w:rPr>
          <w:rFonts w:hint="eastAsia" w:ascii="仿宋" w:hAnsi="仿宋" w:eastAsia="仿宋" w:cs="仿宋"/>
          <w:b/>
          <w:sz w:val="24"/>
          <w:szCs w:val="24"/>
        </w:rPr>
      </w:pPr>
      <w:r/>
      <w:bookmarkStart w:id="180" w:name="_Toc26345_WPSOffice_Level2"/>
      <w:r/>
      <w:bookmarkEnd w:id="179"/>
      <w:r>
        <w:rPr>
          <w:rFonts w:hint="eastAsia" w:ascii="仿宋" w:hAnsi="仿宋" w:eastAsia="仿宋" w:cs="仿宋"/>
          <w:b/>
          <w:sz w:val="24"/>
          <w:szCs w:val="24"/>
        </w:rPr>
        <w:t xml:space="preserve">六、付款方式：</w:t>
      </w:r>
      <w:bookmarkEnd w:id="180"/>
      <w:r/>
      <w:r/>
    </w:p>
    <w:p>
      <w:pPr>
        <w:ind w:firstLine="480"/>
        <w:spacing w:line="360" w:lineRule="auto"/>
        <w:rPr>
          <w:rFonts w:hint="eastAsia" w:ascii="仿宋" w:hAnsi="仿宋" w:eastAsia="仿宋" w:cs="仿宋"/>
          <w:sz w:val="24"/>
          <w:szCs w:val="24"/>
          <w:lang w:val="zh-CN"/>
        </w:rPr>
      </w:pPr>
      <w:r/>
      <w:bookmarkStart w:id="181" w:name="_Toc25081_WPSOffice_Level2"/>
      <w:r>
        <w:rPr>
          <w:rFonts w:hint="eastAsia" w:ascii="仿宋" w:hAnsi="仿宋" w:eastAsia="仿宋" w:cs="仿宋"/>
          <w:sz w:val="24"/>
          <w:szCs w:val="24"/>
          <w:lang w:val="zh-CN"/>
        </w:rPr>
        <w:t xml:space="preserve">1、本合同项下所有款项均以人民币支付，各阶段支付前，乙方按甲方要求向甲方开具等额发票。</w:t>
      </w:r>
      <w:bookmarkEnd w:id="181"/>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bCs/>
          <w:sz w:val="24"/>
          <w:szCs w:val="24"/>
        </w:rPr>
        <w:t xml:space="preserve">2、</w:t>
      </w:r>
      <w:r>
        <w:rPr>
          <w:rFonts w:hint="eastAsia" w:ascii="仿宋" w:hAnsi="仿宋" w:eastAsia="仿宋" w:cs="仿宋"/>
          <w:sz w:val="24"/>
          <w:szCs w:val="24"/>
          <w:lang w:val="zh-CN"/>
        </w:rPr>
        <w:t xml:space="preserve">付款条件：进场半年后支付合同价的50％，服务期满验收合格后付至审定价的100％。（</w:t>
      </w:r>
      <w:r>
        <w:rPr>
          <w:rFonts w:hint="eastAsia" w:ascii="仿宋" w:hAnsi="仿宋" w:eastAsia="仿宋" w:cs="仿宋"/>
          <w:sz w:val="24"/>
          <w:szCs w:val="24"/>
        </w:rPr>
        <w:t xml:space="preserve">付款金额需扣除季度考核处罚费用，付款时间</w:t>
      </w:r>
      <w:r>
        <w:rPr>
          <w:rFonts w:hint="eastAsia" w:ascii="仿宋" w:hAnsi="仿宋" w:eastAsia="仿宋" w:cs="仿宋"/>
          <w:sz w:val="24"/>
          <w:szCs w:val="24"/>
          <w:lang w:val="zh-CN"/>
        </w:rPr>
        <w:t xml:space="preserve">以财政实际拨款节点为准）。</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七、其他：</w:t>
      </w:r>
      <w:r/>
    </w:p>
    <w:p>
      <w:pPr>
        <w:ind w:firstLine="480"/>
        <w:spacing w:line="348"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1、供应商在服务过程中应做好安全防护，当中如果发生了安全事故或财产损失，或造成第三方的人员伤亡、财产损失，或由此而引起的其他一切损害和损失，全部由供应商负责，采购人均不承担责任。</w:t>
      </w:r>
      <w:r/>
    </w:p>
    <w:p>
      <w:pPr>
        <w:ind w:firstLine="480"/>
        <w:spacing w:line="348" w:lineRule="auto"/>
        <w:widowControl/>
        <w:rPr>
          <w:rFonts w:hint="eastAsia" w:ascii="仿宋" w:hAnsi="仿宋" w:eastAsia="仿宋" w:cs="仿宋"/>
          <w:sz w:val="24"/>
          <w:szCs w:val="24"/>
          <w:lang w:val="zh-CN"/>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季</w:t>
      </w:r>
      <w:r>
        <w:rPr>
          <w:rFonts w:hint="eastAsia" w:ascii="仿宋" w:hAnsi="仿宋" w:eastAsia="仿宋" w:cs="仿宋"/>
          <w:sz w:val="24"/>
          <w:szCs w:val="24"/>
          <w:lang w:val="zh-CN"/>
        </w:rPr>
        <w:t xml:space="preserve">度考核每</w:t>
      </w:r>
      <w:r>
        <w:rPr>
          <w:rFonts w:hint="eastAsia" w:ascii="仿宋" w:hAnsi="仿宋" w:eastAsia="仿宋" w:cs="仿宋"/>
          <w:sz w:val="24"/>
          <w:szCs w:val="24"/>
        </w:rPr>
        <w:t xml:space="preserve">季度</w:t>
      </w:r>
      <w:r>
        <w:rPr>
          <w:rFonts w:hint="eastAsia" w:ascii="仿宋" w:hAnsi="仿宋" w:eastAsia="仿宋" w:cs="仿宋"/>
          <w:sz w:val="24"/>
          <w:szCs w:val="24"/>
          <w:lang w:val="zh-CN"/>
        </w:rPr>
        <w:t xml:space="preserve">进行一次，甲方</w:t>
      </w:r>
      <w:r>
        <w:rPr>
          <w:rFonts w:hint="eastAsia" w:ascii="仿宋" w:hAnsi="仿宋" w:eastAsia="仿宋" w:cs="仿宋"/>
          <w:sz w:val="24"/>
          <w:szCs w:val="24"/>
        </w:rPr>
        <w:t xml:space="preserve">根据跟踪审计成果文件</w:t>
      </w:r>
      <w:r>
        <w:rPr>
          <w:rFonts w:hint="eastAsia" w:ascii="仿宋" w:hAnsi="仿宋" w:eastAsia="仿宋" w:cs="仿宋"/>
          <w:sz w:val="24"/>
          <w:szCs w:val="24"/>
          <w:lang w:val="zh-CN"/>
        </w:rPr>
        <w:t xml:space="preserve">扣分</w:t>
      </w:r>
      <w:r>
        <w:rPr>
          <w:rFonts w:hint="eastAsia" w:ascii="仿宋" w:hAnsi="仿宋" w:eastAsia="仿宋" w:cs="仿宋"/>
          <w:sz w:val="24"/>
          <w:szCs w:val="24"/>
        </w:rPr>
        <w:t xml:space="preserve">，同时</w:t>
      </w:r>
      <w:r>
        <w:rPr>
          <w:rFonts w:hint="eastAsia" w:ascii="仿宋" w:hAnsi="仿宋" w:eastAsia="仿宋" w:cs="仿宋"/>
          <w:sz w:val="24"/>
          <w:szCs w:val="24"/>
          <w:lang w:val="zh-CN"/>
        </w:rPr>
        <w:t xml:space="preserve">提供现场照片等佐证材料。得分低于90分扣除</w:t>
      </w:r>
      <w:r>
        <w:rPr>
          <w:rFonts w:hint="eastAsia" w:ascii="仿宋" w:hAnsi="仿宋" w:eastAsia="仿宋" w:cs="仿宋"/>
          <w:sz w:val="24"/>
          <w:szCs w:val="24"/>
        </w:rPr>
        <w:t xml:space="preserve">季度</w:t>
      </w:r>
      <w:r>
        <w:rPr>
          <w:rFonts w:hint="eastAsia" w:ascii="仿宋" w:hAnsi="仿宋" w:eastAsia="仿宋" w:cs="仿宋"/>
          <w:sz w:val="24"/>
          <w:szCs w:val="24"/>
          <w:lang w:val="zh-CN"/>
        </w:rPr>
        <w:t xml:space="preserve">服务费的5%；得分低于80分视为不合格，扣除</w:t>
      </w:r>
      <w:r>
        <w:rPr>
          <w:rFonts w:hint="eastAsia" w:ascii="仿宋" w:hAnsi="仿宋" w:eastAsia="仿宋" w:cs="仿宋"/>
          <w:sz w:val="24"/>
          <w:szCs w:val="24"/>
        </w:rPr>
        <w:t xml:space="preserve">季度</w:t>
      </w:r>
      <w:r>
        <w:rPr>
          <w:rFonts w:hint="eastAsia" w:ascii="仿宋" w:hAnsi="仿宋" w:eastAsia="仿宋" w:cs="仿宋"/>
          <w:sz w:val="24"/>
          <w:szCs w:val="24"/>
          <w:lang w:val="zh-CN"/>
        </w:rPr>
        <w:t xml:space="preserve">服务费的10%。</w:t>
      </w:r>
      <w:r/>
    </w:p>
    <w:p>
      <w:pPr>
        <w:ind w:firstLine="480"/>
        <w:spacing w:line="348" w:lineRule="auto"/>
        <w:widowControl/>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、下一年度续约需满足：</w:t>
      </w:r>
      <w:r>
        <w:rPr>
          <w:rFonts w:hint="eastAsia" w:ascii="仿宋" w:hAnsi="仿宋" w:eastAsia="仿宋" w:cs="仿宋"/>
          <w:sz w:val="24"/>
          <w:szCs w:val="24"/>
        </w:rPr>
        <w:t xml:space="preserve">季</w:t>
      </w:r>
      <w:r>
        <w:rPr>
          <w:rFonts w:hint="eastAsia" w:ascii="仿宋" w:hAnsi="仿宋" w:eastAsia="仿宋" w:cs="仿宋"/>
          <w:sz w:val="24"/>
          <w:szCs w:val="24"/>
          <w:lang w:val="zh-CN"/>
        </w:rPr>
        <w:t xml:space="preserve">度考核累计不合格次数≤</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 次、复查验收合格、服务期满验收合格、</w:t>
      </w:r>
      <w:r>
        <w:rPr>
          <w:rFonts w:ascii="仿宋" w:hAnsi="仿宋" w:eastAsia="仿宋" w:cs="仿宋"/>
          <w:sz w:val="24"/>
          <w:szCs w:val="24"/>
          <w:lang w:val="zh-CN"/>
        </w:rPr>
        <w:t xml:space="preserve">无</w:t>
      </w:r>
      <w:r>
        <w:rPr>
          <w:rFonts w:hint="eastAsia" w:ascii="仿宋" w:hAnsi="仿宋" w:eastAsia="仿宋" w:cs="仿宋"/>
          <w:sz w:val="24"/>
          <w:szCs w:val="24"/>
          <w:lang w:val="zh-CN"/>
        </w:rPr>
        <w:t xml:space="preserve">发生</w:t>
      </w:r>
      <w:r>
        <w:rPr>
          <w:rFonts w:ascii="仿宋" w:hAnsi="仿宋" w:eastAsia="仿宋" w:cs="仿宋"/>
          <w:sz w:val="24"/>
          <w:szCs w:val="24"/>
          <w:lang w:val="zh-CN"/>
        </w:rPr>
        <w:t xml:space="preserve">重大事故</w:t>
      </w:r>
      <w:r>
        <w:rPr>
          <w:rFonts w:hint="eastAsia" w:ascii="仿宋" w:hAnsi="仿宋" w:eastAsia="仿宋" w:cs="仿宋"/>
          <w:sz w:val="24"/>
          <w:szCs w:val="24"/>
          <w:lang w:val="zh-CN"/>
        </w:rPr>
        <w:t xml:space="preserve">（</w:t>
      </w:r>
      <w:r>
        <w:rPr>
          <w:rFonts w:ascii="仿宋" w:hAnsi="仿宋" w:eastAsia="仿宋" w:cs="仿宋"/>
          <w:sz w:val="24"/>
          <w:szCs w:val="24"/>
          <w:lang w:val="zh-CN"/>
        </w:rPr>
        <w:t xml:space="preserve">因防治不力导致水利工程结构损坏或安全事故</w:t>
      </w:r>
      <w:r>
        <w:rPr>
          <w:rFonts w:hint="eastAsia" w:ascii="仿宋" w:hAnsi="仿宋" w:eastAsia="仿宋" w:cs="仿宋"/>
          <w:sz w:val="24"/>
          <w:szCs w:val="24"/>
          <w:lang w:val="zh-CN"/>
        </w:rPr>
        <w:t xml:space="preserve">）或重大负面舆情</w:t>
      </w:r>
      <w:r>
        <w:rPr>
          <w:rFonts w:ascii="仿宋" w:hAnsi="仿宋" w:eastAsia="仿宋" w:cs="仿宋"/>
          <w:sz w:val="24"/>
          <w:szCs w:val="24"/>
          <w:lang w:val="zh-CN"/>
        </w:rPr>
        <w:t xml:space="preserve">。</w:t>
      </w:r>
      <w:r/>
    </w:p>
    <w:p>
      <w:pPr>
        <w:ind w:firstLine="480"/>
        <w:spacing w:line="348"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r>
      <w:r/>
    </w:p>
    <w:p>
      <w:pPr>
        <w:jc w:val="left"/>
        <w:spacing w:before="120" w:after="120" w:line="288" w:lineRule="auto"/>
        <w:widowControl/>
        <w:rPr>
          <w:rFonts w:hint="eastAsia" w:ascii="宋体" w:hAnsi="宋体" w:cs="仿宋"/>
          <w:sz w:val="24"/>
          <w:szCs w:val="24"/>
        </w:rPr>
      </w:pPr>
      <w:r>
        <w:rPr>
          <w:rFonts w:hint="eastAsia" w:ascii="宋体" w:hAnsi="宋体" w:cs="仿宋"/>
          <w:sz w:val="24"/>
          <w:szCs w:val="24"/>
        </w:rPr>
      </w:r>
      <w:r/>
    </w:p>
    <w:p>
      <w:pPr>
        <w:jc w:val="left"/>
        <w:spacing w:before="120" w:after="120" w:line="288" w:lineRule="auto"/>
        <w:widowControl/>
        <w:rPr>
          <w:rFonts w:hint="eastAsia" w:ascii="宋体" w:hAnsi="宋体" w:cs="仿宋"/>
          <w:sz w:val="24"/>
          <w:szCs w:val="24"/>
        </w:rPr>
      </w:pPr>
      <w:r>
        <w:rPr>
          <w:rFonts w:hint="eastAsia" w:ascii="宋体" w:hAnsi="宋体" w:cs="仿宋"/>
          <w:sz w:val="24"/>
          <w:szCs w:val="24"/>
        </w:rPr>
      </w:r>
      <w:r/>
    </w:p>
    <w:p>
      <w:pPr>
        <w:jc w:val="left"/>
        <w:spacing w:before="120" w:after="120" w:line="288" w:lineRule="auto"/>
        <w:widowControl/>
        <w:rPr>
          <w:rFonts w:hint="eastAsia" w:ascii="宋体" w:hAnsi="宋体" w:cs="仿宋"/>
          <w:sz w:val="24"/>
          <w:szCs w:val="24"/>
        </w:rPr>
      </w:pPr>
      <w:r>
        <w:rPr>
          <w:rFonts w:hint="eastAsia" w:ascii="宋体" w:hAnsi="宋体" w:cs="仿宋"/>
          <w:sz w:val="24"/>
          <w:szCs w:val="24"/>
        </w:rPr>
      </w:r>
      <w:r/>
    </w:p>
    <w:p>
      <w:pPr>
        <w:jc w:val="left"/>
        <w:spacing w:before="120" w:after="120" w:line="288" w:lineRule="auto"/>
        <w:widowControl/>
        <w:rPr>
          <w:rFonts w:hint="eastAsia" w:ascii="宋体" w:hAnsi="宋体" w:cs="仿宋"/>
          <w:sz w:val="24"/>
          <w:szCs w:val="24"/>
        </w:rPr>
      </w:pPr>
      <w:r>
        <w:rPr>
          <w:rFonts w:hint="eastAsia" w:ascii="宋体" w:hAnsi="宋体" w:cs="仿宋"/>
          <w:sz w:val="24"/>
          <w:szCs w:val="24"/>
        </w:rPr>
      </w:r>
      <w:r/>
    </w:p>
    <w:p>
      <w:pPr>
        <w:jc w:val="left"/>
        <w:spacing w:before="380" w:after="140"/>
        <w:widowControl/>
        <w:rPr>
          <w:rFonts w:hint="eastAsia" w:ascii="宋体" w:hAnsi="宋体" w:cs="仿宋"/>
          <w:sz w:val="24"/>
          <w:szCs w:val="24"/>
        </w:rPr>
        <w:outlineLvl w:val="0"/>
      </w:pPr>
      <w:r>
        <w:rPr>
          <w:rFonts w:hint="eastAsia" w:ascii="宋体" w:hAnsi="宋体" w:cs="仿宋"/>
          <w:sz w:val="24"/>
          <w:szCs w:val="24"/>
        </w:rPr>
        <w:br w:type="page" w:clear="all"/>
      </w:r>
      <w:r>
        <w:rPr>
          <w:rFonts w:hint="eastAsia" w:ascii="宋体" w:hAnsi="宋体" w:cs="仿宋"/>
          <w:sz w:val="24"/>
          <w:szCs w:val="24"/>
        </w:rPr>
        <w:t xml:space="preserve">附件一</w:t>
      </w:r>
      <w:r/>
    </w:p>
    <w:p>
      <w:pPr>
        <w:jc w:val="center"/>
        <w:spacing w:before="380" w:after="140"/>
        <w:widowControl/>
        <w:rPr>
          <w:rFonts w:hint="eastAsia" w:ascii="宋体" w:hAnsi="宋体" w:cs="仿宋"/>
          <w:b/>
          <w:sz w:val="24"/>
          <w:szCs w:val="24"/>
        </w:rPr>
        <w:outlineLvl w:val="0"/>
      </w:pPr>
      <w:r>
        <w:rPr>
          <w:rFonts w:hint="eastAsia" w:ascii="宋体" w:hAnsi="宋体" w:cs="仿宋"/>
          <w:b/>
          <w:sz w:val="24"/>
          <w:szCs w:val="24"/>
        </w:rPr>
        <w:t xml:space="preserve">季度考核细则</w:t>
      </w:r>
      <w:r/>
    </w:p>
    <w:p>
      <w:pPr>
        <w:jc w:val="left"/>
        <w:spacing w:before="320" w:after="120"/>
        <w:widowControl/>
        <w:rPr>
          <w:rFonts w:hint="eastAsia" w:ascii="宋体" w:hAnsi="宋体" w:cs="仿宋"/>
          <w:b/>
          <w:sz w:val="24"/>
          <w:szCs w:val="24"/>
        </w:rPr>
        <w:outlineLvl w:val="1"/>
      </w:pPr>
      <w:r>
        <w:rPr>
          <w:rFonts w:hint="eastAsia" w:ascii="宋体" w:hAnsi="宋体" w:cs="仿宋"/>
          <w:b/>
          <w:sz w:val="24"/>
          <w:szCs w:val="24"/>
        </w:rPr>
        <w:t xml:space="preserve">一、检查安排（30 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1.日常检查时间未在4月至10月进行，每次扣8分；1-3月和11-12月未开展预防性检查，扣2分。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2.蚁患区白蚁外出活动期每月检查少于2次，每次扣3分；白蚁外出活动高峰期每月检查少于3次，每次扣4分；检查记录不完整（缺时间、地点、检查人、照片影像资料），每项缺失扣1分。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3.蚁源区每月检查少于1次，扣3分；未建立蚁源区白蚁分布档案，扣2分。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4.雨后24小时内未增加检查，每次扣2分；暴雨后1周内未完成全线隐患复查，扣4分。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5.未按要求春秋季各开展1次全覆盖普查，每次扣10分；普查未采用 GPS 定位记录蚁害点，每处扣1分；未按规程划分蚁害 Ⅰ~Ⅲ级或未制定差异化管理清单，扣5分；普查内容缺失，每缺一项扣 2 分。</w:t>
      </w:r>
      <w:r/>
    </w:p>
    <w:p>
      <w:pPr>
        <w:jc w:val="left"/>
        <w:spacing w:before="320" w:after="120"/>
        <w:widowControl/>
        <w:rPr>
          <w:rFonts w:hint="eastAsia" w:ascii="宋体" w:hAnsi="宋体" w:cs="仿宋"/>
          <w:b/>
          <w:sz w:val="24"/>
          <w:szCs w:val="24"/>
        </w:rPr>
        <w:outlineLvl w:val="1"/>
      </w:pPr>
      <w:r>
        <w:rPr>
          <w:rFonts w:hint="eastAsia" w:ascii="宋体" w:hAnsi="宋体" w:cs="仿宋"/>
          <w:b/>
          <w:sz w:val="24"/>
          <w:szCs w:val="24"/>
        </w:rPr>
        <w:t xml:space="preserve">二、日常防治（35分）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1.未对指定区域开展日常防治，每遗漏一处扣5分；防治覆盖率低于95%，每降1个百分点扣1分。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2.饵剂诱杀法（药、桩）、挖巢法、药物灌浆法等措施不规范，每项扣3分；未按江苏省技术规程要求控制药物浓度，每次扣5分；药物灌浆未使用低毒环保药剂（无环保证明），每次扣8分。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3.普投药物后15日内未复查，每处扣2分；复查发现蚁害未消除，每处扣3分。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4、蚁巢开挖后未按要求及时夯实回填恢复原状，扣5分。</w:t>
      </w:r>
      <w:r/>
    </w:p>
    <w:p>
      <w:pPr>
        <w:jc w:val="left"/>
        <w:spacing w:before="320" w:after="120"/>
        <w:widowControl/>
        <w:rPr>
          <w:rFonts w:hint="eastAsia" w:ascii="宋体" w:hAnsi="宋体" w:cs="仿宋"/>
          <w:b/>
          <w:sz w:val="24"/>
          <w:szCs w:val="24"/>
        </w:rPr>
        <w:outlineLvl w:val="1"/>
      </w:pPr>
      <w:r>
        <w:rPr>
          <w:rFonts w:hint="eastAsia" w:ascii="宋体" w:hAnsi="宋体" w:cs="仿宋"/>
          <w:b/>
          <w:sz w:val="24"/>
          <w:szCs w:val="24"/>
        </w:rPr>
        <w:t xml:space="preserve">三、人员与应急管理（20 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1.现场技术人员和现场负责人无职称证书或人证不符，每人次扣2分；现场负责人在白蚁防治期间不在现场或不配合甲方工作，每次扣2分；人员变动未报备每次扣3分。</w:t>
      </w:r>
      <w:r/>
    </w:p>
    <w:p>
      <w:pPr>
        <w:jc w:val="left"/>
        <w:spacing w:before="120" w:after="120"/>
        <w:widowControl/>
        <w:rPr>
          <w:rFonts w:hint="eastAsia" w:ascii="宋体" w:hAnsi="宋体" w:cs="仿宋"/>
          <w:szCs w:val="21"/>
        </w:rPr>
      </w:pPr>
      <w:r>
        <w:rPr>
          <w:rFonts w:hint="eastAsia" w:ascii="宋体" w:hAnsi="宋体" w:cs="仿宋"/>
          <w:sz w:val="24"/>
          <w:szCs w:val="24"/>
        </w:rPr>
        <w:t xml:space="preserve">2.应急处置不及时（1小时内未到现场或24小时内未提交方案），每次扣3分。发生12345、信访或被区级部门通报时扣5分，产生负面舆情或被市级部门通报时扣10分。</w:t>
      </w:r>
      <w:r/>
    </w:p>
    <w:p>
      <w:pPr>
        <w:jc w:val="left"/>
        <w:spacing w:before="320" w:after="120"/>
        <w:widowControl/>
        <w:rPr>
          <w:rFonts w:hint="eastAsia" w:ascii="宋体" w:hAnsi="宋体" w:cs="仿宋"/>
          <w:b/>
          <w:sz w:val="24"/>
          <w:szCs w:val="24"/>
        </w:rPr>
        <w:outlineLvl w:val="1"/>
      </w:pPr>
      <w:r>
        <w:rPr>
          <w:rFonts w:hint="eastAsia" w:ascii="宋体" w:hAnsi="宋体" w:cs="仿宋"/>
          <w:b/>
          <w:sz w:val="24"/>
          <w:szCs w:val="24"/>
        </w:rPr>
        <w:t xml:space="preserve">四、资料整编（15分）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1.未按规定做好记录，每次扣3分；记录不规范（字迹潦草、内容不全、未体现危害等级）、缺少检查防治资料，每次扣1分。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2.未及时记录相关情况，每缺失一项扣1分；电子台账与纸质记录不一致，每次扣2分。</w:t>
      </w:r>
      <w:r/>
    </w:p>
    <w:p>
      <w:pPr>
        <w:jc w:val="left"/>
        <w:spacing w:before="120" w:after="120"/>
        <w:widowControl/>
        <w:rPr>
          <w:rFonts w:hint="eastAsia" w:ascii="宋体" w:hAnsi="宋体" w:cs="仿宋"/>
          <w:sz w:val="24"/>
          <w:szCs w:val="24"/>
        </w:rPr>
      </w:pPr>
      <w:r>
        <w:rPr>
          <w:rFonts w:hint="eastAsia" w:ascii="宋体" w:hAnsi="宋体" w:cs="仿宋"/>
          <w:sz w:val="24"/>
          <w:szCs w:val="24"/>
        </w:rPr>
        <w:t xml:space="preserve">3.未进行资料整编归档，扣3分；资料归档不及时（超过当月月底），每次扣2分。</w:t>
      </w:r>
      <w:r/>
    </w:p>
    <w:p>
      <w:pPr>
        <w:rPr>
          <w:rFonts w:hint="eastAsia" w:ascii="宋体" w:hAnsi="宋体"/>
        </w:rPr>
      </w:pPr>
      <w:r>
        <w:rPr>
          <w:rFonts w:hint="eastAsia" w:ascii="宋体" w:hAnsi="宋体"/>
        </w:rPr>
      </w:r>
      <w:r/>
    </w:p>
    <w:p>
      <w:pPr>
        <w:jc w:val="left"/>
        <w:spacing w:before="380" w:after="140"/>
        <w:widowControl/>
        <w:rPr>
          <w:rFonts w:hint="eastAsia" w:ascii="宋体" w:hAnsi="宋体" w:cs="Arial"/>
          <w:b/>
          <w:bCs/>
          <w:sz w:val="36"/>
          <w:szCs w:val="36"/>
        </w:rPr>
        <w:outlineLvl w:val="0"/>
      </w:pPr>
      <w:r>
        <w:rPr>
          <w:rFonts w:hint="eastAsia" w:ascii="宋体" w:hAnsi="宋体" w:cs="仿宋"/>
          <w:sz w:val="24"/>
          <w:szCs w:val="24"/>
        </w:rPr>
        <w:br w:type="page" w:clear="all"/>
      </w:r>
      <w:r>
        <w:rPr>
          <w:rFonts w:hint="eastAsia" w:ascii="宋体" w:hAnsi="宋体" w:cs="仿宋"/>
          <w:sz w:val="24"/>
          <w:szCs w:val="24"/>
        </w:rPr>
        <w:t xml:space="preserve">附件二</w:t>
      </w:r>
      <w:r/>
    </w:p>
    <w:p>
      <w:pPr>
        <w:jc w:val="center"/>
        <w:spacing w:before="380" w:after="140"/>
        <w:widowControl/>
        <w:rPr>
          <w:rFonts w:hint="eastAsia" w:ascii="宋体" w:hAnsi="宋体" w:cs="Arial"/>
          <w:b/>
          <w:bCs/>
          <w:sz w:val="36"/>
          <w:szCs w:val="36"/>
        </w:rPr>
        <w:outlineLvl w:val="0"/>
      </w:pPr>
      <w:r>
        <w:rPr>
          <w:rFonts w:hint="eastAsia" w:ascii="宋体" w:hAnsi="宋体" w:cs="Arial"/>
          <w:b/>
          <w:bCs/>
          <w:sz w:val="36"/>
          <w:szCs w:val="36"/>
        </w:rPr>
        <w:t xml:space="preserve">季</w:t>
      </w:r>
      <w:r>
        <w:rPr>
          <w:rFonts w:ascii="宋体" w:hAnsi="宋体" w:cs="Arial"/>
          <w:b/>
          <w:bCs/>
          <w:sz w:val="36"/>
          <w:szCs w:val="36"/>
        </w:rPr>
        <w:t xml:space="preserve">度考核</w:t>
      </w:r>
      <w:r>
        <w:rPr>
          <w:rFonts w:hint="eastAsia" w:ascii="宋体" w:hAnsi="宋体" w:cs="Arial"/>
          <w:b/>
          <w:bCs/>
          <w:sz w:val="36"/>
          <w:szCs w:val="36"/>
        </w:rPr>
        <w:t xml:space="preserve">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743"/>
        <w:gridCol w:w="5056"/>
        <w:gridCol w:w="1134"/>
        <w:gridCol w:w="1134"/>
        <w:gridCol w:w="709"/>
      </w:tblGrid>
      <w:tr>
        <w:trPr/>
        <w:tc>
          <w:tcPr>
            <w:tcMar>
              <w:left w:w="120" w:type="dxa"/>
              <w:top w:w="60" w:type="dxa"/>
              <w:right w:w="120" w:type="dxa"/>
              <w:bottom w:w="30" w:type="dxa"/>
            </w:tcMar>
            <w:tcW w:w="1743"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考核项目</w:t>
            </w:r>
            <w:r/>
          </w:p>
        </w:tc>
        <w:tc>
          <w:tcPr>
            <w:tcMar>
              <w:left w:w="120" w:type="dxa"/>
              <w:top w:w="60" w:type="dxa"/>
              <w:right w:w="120" w:type="dxa"/>
              <w:bottom w:w="30" w:type="dxa"/>
            </w:tcMar>
            <w:tcW w:w="5056"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扣分标准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实际扣分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考核得分</w:t>
            </w:r>
            <w:r/>
          </w:p>
        </w:tc>
        <w:tc>
          <w:tcPr>
            <w:tcMar>
              <w:left w:w="120" w:type="dxa"/>
              <w:top w:w="60" w:type="dxa"/>
              <w:right w:w="120" w:type="dxa"/>
              <w:bottom w:w="30" w:type="dxa"/>
            </w:tcMar>
            <w:tcW w:w="709"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备注</w:t>
            </w:r>
            <w:r/>
          </w:p>
        </w:tc>
      </w:tr>
      <w:tr>
        <w:trPr/>
        <w:tc>
          <w:tcPr>
            <w:tcMar>
              <w:left w:w="120" w:type="dxa"/>
              <w:top w:w="60" w:type="dxa"/>
              <w:right w:w="120" w:type="dxa"/>
              <w:bottom w:w="30" w:type="dxa"/>
            </w:tcMar>
            <w:tcW w:w="1743"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检查安排</w:t>
            </w:r>
            <w:r>
              <w:rPr>
                <w:rFonts w:hint="eastAsia" w:ascii="宋体" w:hAnsi="宋体" w:cs="Arial"/>
                <w:sz w:val="22"/>
              </w:rPr>
              <w:t xml:space="preserve">（30 分）</w:t>
            </w:r>
            <w:r/>
          </w:p>
        </w:tc>
        <w:tc>
          <w:tcPr>
            <w:tcMar>
              <w:left w:w="120" w:type="dxa"/>
              <w:top w:w="60" w:type="dxa"/>
              <w:right w:w="120" w:type="dxa"/>
              <w:bottom w:w="30" w:type="dxa"/>
            </w:tcMar>
            <w:tcW w:w="5056"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日常检查时间不符扣 </w:t>
            </w:r>
            <w:r>
              <w:rPr>
                <w:rFonts w:hint="eastAsia" w:ascii="宋体" w:hAnsi="宋体" w:cs="Arial"/>
                <w:sz w:val="22"/>
              </w:rPr>
              <w:t xml:space="preserve">8</w:t>
            </w:r>
            <w:r>
              <w:rPr>
                <w:rFonts w:ascii="宋体" w:hAnsi="宋体" w:cs="Arial"/>
                <w:sz w:val="22"/>
              </w:rPr>
              <w:t xml:space="preserve"> 分；</w:t>
            </w:r>
            <w:r>
              <w:rPr>
                <w:rFonts w:hint="eastAsia" w:ascii="宋体" w:hAnsi="宋体" w:cs="Arial"/>
                <w:sz w:val="22"/>
              </w:rPr>
              <w:t xml:space="preserve">未开展预防性检查</w:t>
            </w:r>
            <w:r>
              <w:rPr>
                <w:rFonts w:ascii="宋体" w:hAnsi="宋体" w:cs="Arial"/>
                <w:sz w:val="22"/>
              </w:rPr>
              <w:t xml:space="preserve">扣 </w:t>
            </w:r>
            <w:r>
              <w:rPr>
                <w:rFonts w:hint="eastAsia" w:ascii="宋体" w:hAnsi="宋体" w:cs="Arial"/>
                <w:sz w:val="22"/>
              </w:rPr>
              <w:t xml:space="preserve">2</w:t>
            </w:r>
            <w:r>
              <w:rPr>
                <w:rFonts w:ascii="宋体" w:hAnsi="宋体" w:cs="Arial"/>
                <w:sz w:val="22"/>
              </w:rPr>
              <w:t xml:space="preserve">分；蚁患区检查次数不足扣 3-4 分；检查记录缺失项每项扣 1 分；蚁源区检查不足扣 3 分；未建蚁源档案扣 2 分；雨后未及时检查扣 2 分；暴雨后未排查扣 4 分；未按要求普查扣 10 分；普查未 GPS 定位每处扣 1 分；未划分蚁害等级或未制定差异化清单扣 5 分；普查内容缺失每项扣 2 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709"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r>
      <w:tr>
        <w:trPr/>
        <w:tc>
          <w:tcPr>
            <w:tcMar>
              <w:left w:w="120" w:type="dxa"/>
              <w:top w:w="60" w:type="dxa"/>
              <w:right w:w="120" w:type="dxa"/>
              <w:bottom w:w="30" w:type="dxa"/>
            </w:tcMar>
            <w:tcW w:w="1743"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日常防治</w:t>
            </w:r>
            <w:r>
              <w:rPr>
                <w:rFonts w:hint="eastAsia" w:ascii="宋体" w:hAnsi="宋体" w:cs="Arial"/>
                <w:sz w:val="22"/>
              </w:rPr>
              <w:t xml:space="preserve">（35分）</w:t>
            </w:r>
            <w:r/>
          </w:p>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5056"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遗漏防治区域每处扣 5 分；覆盖率每降 1% 扣 1 分；防治措施不规范每项扣 3 分；药物浓度不达标每次扣 5 分；灌浆未用低毒环保药剂每次扣 8 分；</w:t>
            </w:r>
            <w:r>
              <w:rPr>
                <w:rFonts w:hint="eastAsia" w:ascii="宋体" w:hAnsi="宋体" w:cs="Arial"/>
                <w:sz w:val="22"/>
              </w:rPr>
              <w:t xml:space="preserve">普投药物后 </w:t>
            </w:r>
            <w:r>
              <w:rPr>
                <w:rFonts w:ascii="宋体" w:hAnsi="宋体" w:cs="Arial"/>
                <w:sz w:val="22"/>
              </w:rPr>
              <w:t xml:space="preserve">后未复查每处扣 2 分；复查蚁害未消除每处扣 3 分</w:t>
            </w:r>
            <w:r>
              <w:rPr>
                <w:rFonts w:hint="eastAsia" w:ascii="宋体" w:hAnsi="宋体" w:cs="Arial"/>
                <w:sz w:val="22"/>
              </w:rPr>
              <w:t xml:space="preserve">；蚁巢开挖后未按要求及时夯实回填恢复原状，扣5分。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709"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r>
      <w:tr>
        <w:trPr/>
        <w:tc>
          <w:tcPr>
            <w:tcMar>
              <w:left w:w="120" w:type="dxa"/>
              <w:top w:w="60" w:type="dxa"/>
              <w:right w:w="120" w:type="dxa"/>
              <w:bottom w:w="30" w:type="dxa"/>
            </w:tcMar>
            <w:tcW w:w="1743"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人员与应急管理</w:t>
            </w:r>
            <w:r>
              <w:rPr>
                <w:rFonts w:hint="eastAsia" w:ascii="宋体" w:hAnsi="宋体" w:cs="Arial"/>
                <w:sz w:val="22"/>
              </w:rPr>
              <w:t xml:space="preserve">（20 分）</w:t>
            </w:r>
            <w:r/>
          </w:p>
        </w:tc>
        <w:tc>
          <w:tcPr>
            <w:tcMar>
              <w:left w:w="120" w:type="dxa"/>
              <w:top w:w="60" w:type="dxa"/>
              <w:right w:w="120" w:type="dxa"/>
              <w:bottom w:w="30" w:type="dxa"/>
            </w:tcMar>
            <w:tcW w:w="5056"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t xml:space="preserve">现场技术人员和现场负责人无职称证书或人证不符</w:t>
            </w:r>
            <w:r>
              <w:rPr>
                <w:rFonts w:ascii="宋体" w:hAnsi="宋体" w:cs="Arial"/>
                <w:sz w:val="22"/>
              </w:rPr>
              <w:t xml:space="preserve">每</w:t>
            </w:r>
            <w:r>
              <w:rPr>
                <w:rFonts w:hint="eastAsia" w:ascii="宋体" w:hAnsi="宋体" w:cs="Arial"/>
                <w:sz w:val="22"/>
              </w:rPr>
              <w:t xml:space="preserve">人</w:t>
            </w:r>
            <w:r>
              <w:rPr>
                <w:rFonts w:ascii="宋体" w:hAnsi="宋体" w:cs="Arial"/>
                <w:sz w:val="22"/>
              </w:rPr>
              <w:t xml:space="preserve">次扣 2 分；现场负责人</w:t>
            </w:r>
            <w:r>
              <w:rPr>
                <w:rFonts w:hint="eastAsia" w:ascii="宋体" w:hAnsi="宋体" w:cs="Arial"/>
                <w:sz w:val="22"/>
              </w:rPr>
              <w:t xml:space="preserve">不在现场或不配合甲方工作</w:t>
            </w:r>
            <w:r>
              <w:rPr>
                <w:rFonts w:ascii="宋体" w:hAnsi="宋体" w:cs="Arial"/>
                <w:sz w:val="22"/>
              </w:rPr>
              <w:t xml:space="preserve">扣 </w:t>
            </w:r>
            <w:r>
              <w:rPr>
                <w:rFonts w:hint="eastAsia" w:ascii="宋体" w:hAnsi="宋体" w:cs="Arial"/>
                <w:sz w:val="22"/>
              </w:rPr>
              <w:t xml:space="preserve">2</w:t>
            </w:r>
            <w:r>
              <w:rPr>
                <w:rFonts w:ascii="宋体" w:hAnsi="宋体" w:cs="Arial"/>
                <w:sz w:val="22"/>
              </w:rPr>
              <w:t xml:space="preserve">分；人员变动未报备每次扣 3 分；应急处置不及时每次扣</w:t>
            </w:r>
            <w:r>
              <w:rPr>
                <w:rFonts w:hint="eastAsia" w:ascii="宋体" w:hAnsi="宋体" w:cs="Arial"/>
                <w:sz w:val="22"/>
              </w:rPr>
              <w:t xml:space="preserve">3</w:t>
            </w:r>
            <w:r>
              <w:rPr>
                <w:rFonts w:ascii="宋体" w:hAnsi="宋体" w:cs="Arial"/>
                <w:sz w:val="22"/>
              </w:rPr>
              <w:t xml:space="preserve"> 分</w:t>
            </w:r>
            <w:r>
              <w:rPr>
                <w:rFonts w:hint="eastAsia" w:ascii="宋体" w:hAnsi="宋体" w:cs="Arial"/>
                <w:sz w:val="22"/>
              </w:rPr>
              <w:t xml:space="preserve">。发生12345、信访或被区级部门通报时扣5分，产生负面舆情或被市级部门通报时扣10分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709"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r>
      <w:tr>
        <w:trPr/>
        <w:tc>
          <w:tcPr>
            <w:tcMar>
              <w:left w:w="120" w:type="dxa"/>
              <w:top w:w="60" w:type="dxa"/>
              <w:right w:w="120" w:type="dxa"/>
              <w:bottom w:w="30" w:type="dxa"/>
            </w:tcMar>
            <w:tcW w:w="1743"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资料整编</w:t>
            </w:r>
            <w:r>
              <w:rPr>
                <w:rFonts w:hint="eastAsia" w:ascii="宋体" w:hAnsi="宋体" w:cs="Arial"/>
                <w:sz w:val="22"/>
              </w:rPr>
              <w:t xml:space="preserve">（15 分）</w:t>
            </w:r>
            <w:r/>
          </w:p>
        </w:tc>
        <w:tc>
          <w:tcPr>
            <w:tcMar>
              <w:left w:w="120" w:type="dxa"/>
              <w:top w:w="60" w:type="dxa"/>
              <w:right w:w="120" w:type="dxa"/>
              <w:bottom w:w="30" w:type="dxa"/>
            </w:tcMar>
            <w:tcW w:w="5056"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未按规定记录</w:t>
            </w:r>
            <w:r>
              <w:rPr>
                <w:rFonts w:hint="eastAsia" w:ascii="宋体" w:hAnsi="宋体" w:cs="仿宋"/>
                <w:sz w:val="24"/>
                <w:szCs w:val="24"/>
              </w:rPr>
              <w:t xml:space="preserve">扣3</w:t>
            </w:r>
            <w:r>
              <w:rPr>
                <w:rFonts w:ascii="宋体" w:hAnsi="宋体" w:cs="Arial"/>
                <w:sz w:val="22"/>
              </w:rPr>
              <w:t xml:space="preserve">分；记录不规范每次扣</w:t>
            </w:r>
            <w:r>
              <w:rPr>
                <w:rFonts w:hint="eastAsia" w:ascii="宋体" w:hAnsi="宋体" w:cs="Arial"/>
                <w:sz w:val="22"/>
              </w:rPr>
              <w:t xml:space="preserve">1</w:t>
            </w:r>
            <w:r>
              <w:rPr>
                <w:rFonts w:ascii="宋体" w:hAnsi="宋体" w:cs="Arial"/>
                <w:sz w:val="22"/>
              </w:rPr>
              <w:t xml:space="preserve">分；未及时记录每缺一项</w:t>
            </w:r>
            <w:r>
              <w:rPr>
                <w:rFonts w:hint="eastAsia" w:ascii="宋体" w:hAnsi="宋体" w:cs="仿宋"/>
                <w:sz w:val="24"/>
                <w:szCs w:val="24"/>
              </w:rPr>
              <w:t xml:space="preserve">扣1分</w:t>
            </w:r>
            <w:r>
              <w:rPr>
                <w:rFonts w:ascii="宋体" w:hAnsi="宋体" w:cs="Arial"/>
                <w:sz w:val="22"/>
              </w:rPr>
              <w:t xml:space="preserve">；电子与纸质台账不一致每次扣</w:t>
            </w:r>
            <w:r>
              <w:rPr>
                <w:rFonts w:hint="eastAsia" w:ascii="宋体" w:hAnsi="宋体" w:cs="Arial"/>
                <w:sz w:val="22"/>
              </w:rPr>
              <w:t xml:space="preserve">2</w:t>
            </w:r>
            <w:r>
              <w:rPr>
                <w:rFonts w:ascii="宋体" w:hAnsi="宋体" w:cs="Arial"/>
                <w:sz w:val="22"/>
              </w:rPr>
              <w:t xml:space="preserve">分；未归档扣</w:t>
            </w:r>
            <w:r>
              <w:rPr>
                <w:rFonts w:hint="eastAsia" w:ascii="宋体" w:hAnsi="宋体" w:cs="Arial"/>
                <w:sz w:val="22"/>
              </w:rPr>
              <w:t xml:space="preserve">3</w:t>
            </w:r>
            <w:r>
              <w:rPr>
                <w:rFonts w:ascii="宋体" w:hAnsi="宋体" w:cs="Arial"/>
                <w:sz w:val="22"/>
              </w:rPr>
              <w:t xml:space="preserve">分；归档逾期每次扣2分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709"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r>
      <w:tr>
        <w:trPr>
          <w:trHeight w:val="542"/>
        </w:trPr>
        <w:tc>
          <w:tcPr>
            <w:tcMar>
              <w:left w:w="120" w:type="dxa"/>
              <w:top w:w="60" w:type="dxa"/>
              <w:right w:w="120" w:type="dxa"/>
              <w:bottom w:w="30" w:type="dxa"/>
            </w:tcMar>
            <w:tcW w:w="1743"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22"/>
              </w:rPr>
              <w:t xml:space="preserve">总分</w:t>
            </w:r>
            <w:r/>
          </w:p>
        </w:tc>
        <w:tc>
          <w:tcPr>
            <w:tcMar>
              <w:left w:w="120" w:type="dxa"/>
              <w:top w:w="60" w:type="dxa"/>
              <w:right w:w="120" w:type="dxa"/>
              <w:bottom w:w="30" w:type="dxa"/>
            </w:tcMar>
            <w:tcW w:w="5056"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hint="eastAsia" w:ascii="宋体" w:hAnsi="宋体" w:cs="Arial"/>
                <w:sz w:val="22"/>
              </w:rPr>
            </w:pPr>
            <w:r>
              <w:rPr>
                <w:rFonts w:hint="eastAsia" w:ascii="宋体" w:hAnsi="宋体" w:cs="Arial"/>
                <w:sz w:val="22"/>
              </w:rPr>
            </w:r>
            <w:r/>
          </w:p>
        </w:tc>
        <w:tc>
          <w:tcPr>
            <w:tcMar>
              <w:left w:w="120" w:type="dxa"/>
              <w:top w:w="60" w:type="dxa"/>
              <w:right w:w="120" w:type="dxa"/>
              <w:bottom w:w="30" w:type="dxa"/>
            </w:tcMar>
            <w:tcW w:w="709" w:type="dxa"/>
            <w:textDirection w:val="lrTb"/>
            <w:noWrap w:val="false"/>
          </w:tcPr>
          <w:p>
            <w:pPr>
              <w:jc w:val="left"/>
              <w:spacing w:before="120" w:after="120" w:line="288" w:lineRule="auto"/>
              <w:widowControl/>
              <w:rPr>
                <w:rFonts w:hint="eastAsia" w:ascii="宋体" w:hAnsi="宋体" w:cs="Arial"/>
                <w:sz w:val="22"/>
              </w:rPr>
            </w:pPr>
            <w:r>
              <w:rPr>
                <w:rFonts w:ascii="宋体" w:hAnsi="宋体" w:cs="Arial"/>
                <w:sz w:val="18"/>
                <w:szCs w:val="18"/>
              </w:rPr>
              <w:t xml:space="preserve">80 分及以上合格</w:t>
            </w:r>
            <w:r/>
          </w:p>
        </w:tc>
      </w:tr>
    </w:tbl>
    <w:p>
      <w:pPr>
        <w:jc w:val="left"/>
        <w:widowControl/>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br w:type="page" w:clear="all"/>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第五章  评审方法与评审标准</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white"/>
        </w:rPr>
        <w:t xml:space="preserve">一、评标方法</w:t>
      </w:r>
      <w:r/>
    </w:p>
    <w:p>
      <w:pPr>
        <w:ind w:firstLine="480"/>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本项目采用综合评分法，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选取3名中标候选人。</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white"/>
        </w:rPr>
        <w:t xml:space="preserve">二、政府采购政策功能落实（本项目不专门面向中小企业采购，执行价格扣除政策。）</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1、小微型企业价格扣除（价格扣除政策仅适用“不专门面向中小企业采购项目”）</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（1）本项目对小微企业提供的服务给予</w:t>
      </w:r>
      <w:r>
        <w:rPr>
          <w:rFonts w:hint="eastAsia" w:ascii="仿宋" w:hAnsi="仿宋" w:eastAsia="仿宋" w:cs="仿宋"/>
          <w:sz w:val="24"/>
          <w:szCs w:val="24"/>
          <w:highlight w:val="white"/>
          <w:u w:val="single"/>
        </w:rPr>
        <w:t xml:space="preserve"> 10%  </w:t>
      </w:r>
      <w:r>
        <w:rPr>
          <w:rFonts w:hint="eastAsia" w:ascii="仿宋" w:hAnsi="仿宋" w:eastAsia="仿宋" w:cs="仿宋"/>
          <w:sz w:val="24"/>
          <w:szCs w:val="24"/>
          <w:highlight w:val="white"/>
        </w:rPr>
        <w:t xml:space="preserve">的扣除价格，用扣除后的价格参与评审。</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（2）企业按照采购文件的要求提供相应的《中小企业声明函》。</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（3）企业标准请参照《关于印发中小企业划型标准规定的通知》（工信部联企业[2011]300号）文件规定自行填写。</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2、残疾人福利单位价格扣除</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（1）本项目对残疾人福利性单位视同小型、微型企业，给予与小微企业相同的价格扣除，用扣除后的价格参与评审。</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（2）残疾人福利单位需按照采购文件的要求提供《残疾人福利性单位声明函》。</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（3）残疾人福利单位标准请参照《关于促进残疾人就业政府采购政策的通知》（财库〔2017〕141号）。</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3、监狱和戒毒企业价格扣除</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（1）本项目对监狱和戒毒企业（简称监狱企业）视同小型、微型企业，给予与小微企业相同的价格扣除，用扣除后的价格参与评审。</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（2）监狱企业参加政府采购活动时，需提供由省级以上监狱管理局、戒毒管理局(含新疆生产建设兵团)出具的属于监狱企业的证明文件。</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（3）监狱企业标准请参照《关于政府采购支持监狱企业发展有关问题的通知》（财库[2014]68号）。</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4、残疾人福利单位、监狱企业属于小型、微型企业的，不重复享受政策。上述价格扣除政策仅适用“不专门面向中小企业采购项目”。</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5、绿色采购要求 </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（1）本项目中涉及的商品包装和快递包装执行《关于印发〈商品包装政府采购需求标准（试行）〉、〈快递包装政府采购需求标准（试行）〉的通知》（财办库〔2020〕123号）、</w:t>
      </w:r>
      <w:r>
        <w:rPr>
          <w:rFonts w:hint="eastAsia" w:ascii="仿宋" w:hAnsi="仿宋" w:eastAsia="仿宋" w:cs="仿宋"/>
          <w:sz w:val="24"/>
          <w:szCs w:val="24"/>
          <w:highlight w:val="white"/>
        </w:rPr>
        <w:t xml:space="preserve">《江苏省财政厅关于加强政府绿色采购有关事项的通知》（苏财购〔2023〕65号）的要求，投标人应当提供符合需求标准的产品及相关快递服务的包装。 </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（2）本项目中涉及涂料、胶黏剂、油墨、清洗剂等挥发性有机物产品的，属于强制性标准的，投标人应当提供符合国家和江苏省相关VOCs 含量限制标准的产品。</w:t>
      </w:r>
      <w:r/>
    </w:p>
    <w:p>
      <w:pP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t xml:space="preserve">（3）本项目涉及的数据中心相关设备、运维服务执行《绿色数据中心政府采购需求标准》（财库〔2023〕7号）的要求，供应商应当提供符合需求标准的产品及相关服务。</w:t>
      </w:r>
      <w:r/>
    </w:p>
    <w:p>
      <w:pPr>
        <w:spacing w:line="360" w:lineRule="auto"/>
        <w:rPr>
          <w:rFonts w:hint="eastAsia" w:ascii="仿宋" w:hAnsi="仿宋" w:eastAsia="仿宋" w:cs="仿宋"/>
          <w:b/>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white"/>
        </w:rPr>
        <w:t xml:space="preserve">三、评审标准</w:t>
      </w:r>
      <w:r/>
    </w:p>
    <w:tbl>
      <w:tblPr>
        <w:tblStyle w:val="1039"/>
        <w:tblW w:w="957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58"/>
        <w:gridCol w:w="1242"/>
        <w:gridCol w:w="6974"/>
        <w:gridCol w:w="604"/>
      </w:tblGrid>
      <w:tr>
        <w:trPr>
          <w:jc w:val="center"/>
          <w:trHeight w:val="1048"/>
          <w:tblHeader/>
        </w:trPr>
        <w:tc>
          <w:tcPr>
            <w:tcW w:w="758" w:type="dxa"/>
            <w:vAlign w:val="center"/>
            <w:textDirection w:val="lrTb"/>
            <w:noWrap w:val="false"/>
          </w:tcPr>
          <w:p>
            <w:pPr>
              <w:jc w:val="center"/>
              <w:rPr>
                <w:rFonts w:hint="eastAsia" w:ascii="仿宋" w:hAnsi="仿宋" w:eastAsia="仿宋" w:cs="仿宋"/>
                <w:b/>
                <w:bCs/>
                <w:spacing w:val="-2"/>
                <w:sz w:val="24"/>
                <w:szCs w:val="24"/>
                <w:highlight w:val="white"/>
              </w:rPr>
            </w:pPr>
            <w:r>
              <w:rPr>
                <w:rFonts w:hint="eastAsia" w:ascii="仿宋" w:hAnsi="仿宋" w:eastAsia="仿宋" w:cs="仿宋"/>
                <w:b/>
                <w:bCs/>
                <w:sz w:val="24"/>
                <w:szCs w:val="24"/>
              </w:rPr>
              <w:t xml:space="preserve">序号</w:t>
            </w:r>
            <w:r/>
          </w:p>
        </w:tc>
        <w:tc>
          <w:tcPr>
            <w:tcW w:w="1242" w:type="dxa"/>
            <w:vAlign w:val="center"/>
            <w:textDirection w:val="lrTb"/>
            <w:noWrap w:val="false"/>
          </w:tcPr>
          <w:p>
            <w:pPr>
              <w:jc w:val="center"/>
              <w:rPr>
                <w:rFonts w:hint="eastAsia" w:ascii="仿宋" w:hAnsi="仿宋" w:eastAsia="仿宋" w:cs="仿宋"/>
                <w:b/>
                <w:bCs/>
                <w:spacing w:val="-2"/>
                <w:sz w:val="24"/>
                <w:szCs w:val="24"/>
                <w:highlight w:val="white"/>
              </w:rPr>
            </w:pPr>
            <w:r>
              <w:rPr>
                <w:rFonts w:hint="eastAsia" w:ascii="仿宋" w:hAnsi="仿宋" w:eastAsia="仿宋" w:cs="仿宋"/>
                <w:b/>
                <w:bCs/>
                <w:sz w:val="24"/>
                <w:szCs w:val="24"/>
              </w:rPr>
              <w:t xml:space="preserve">评分因素</w:t>
            </w:r>
            <w:r/>
          </w:p>
        </w:tc>
        <w:tc>
          <w:tcPr>
            <w:tcW w:w="6974" w:type="dxa"/>
            <w:vAlign w:val="center"/>
            <w:textDirection w:val="lrTb"/>
            <w:noWrap w:val="false"/>
          </w:tcPr>
          <w:p>
            <w:pPr>
              <w:jc w:val="center"/>
              <w:rPr>
                <w:rFonts w:hint="eastAsia" w:ascii="仿宋" w:hAnsi="仿宋" w:eastAsia="仿宋" w:cs="仿宋"/>
                <w:b/>
                <w:bCs/>
                <w:spacing w:val="-2"/>
                <w:sz w:val="24"/>
                <w:szCs w:val="24"/>
                <w:highlight w:val="white"/>
              </w:rPr>
            </w:pPr>
            <w:r>
              <w:rPr>
                <w:rFonts w:hint="eastAsia" w:ascii="仿宋" w:hAnsi="仿宋" w:eastAsia="仿宋" w:cs="仿宋"/>
                <w:b/>
                <w:bCs/>
                <w:sz w:val="24"/>
                <w:szCs w:val="24"/>
              </w:rPr>
              <w:t xml:space="preserve">评审标准</w:t>
            </w:r>
            <w:r/>
          </w:p>
        </w:tc>
        <w:tc>
          <w:tcPr>
            <w:tcW w:w="604" w:type="dxa"/>
            <w:vAlign w:val="center"/>
            <w:textDirection w:val="lrTb"/>
            <w:noWrap w:val="false"/>
          </w:tcPr>
          <w:p>
            <w:pPr>
              <w:jc w:val="center"/>
              <w:rPr>
                <w:rFonts w:hint="eastAsia" w:ascii="仿宋" w:hAnsi="仿宋" w:eastAsia="仿宋" w:cs="仿宋"/>
                <w:b/>
                <w:bCs/>
                <w:spacing w:val="-2"/>
                <w:sz w:val="24"/>
                <w:szCs w:val="24"/>
                <w:highlight w:val="white"/>
              </w:rPr>
            </w:pPr>
            <w:r>
              <w:rPr>
                <w:rFonts w:hint="eastAsia" w:ascii="仿宋" w:hAnsi="仿宋" w:eastAsia="仿宋" w:cs="仿宋"/>
                <w:b/>
                <w:bCs/>
                <w:sz w:val="24"/>
                <w:szCs w:val="24"/>
              </w:rPr>
              <w:t xml:space="preserve">分值</w:t>
            </w:r>
            <w:r/>
          </w:p>
        </w:tc>
      </w:tr>
      <w:tr>
        <w:trPr>
          <w:jc w:val="center"/>
          <w:trHeight w:val="90"/>
        </w:trPr>
        <w:tc>
          <w:tcPr>
            <w:tcW w:w="758"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w:t>
            </w:r>
            <w:r/>
          </w:p>
        </w:tc>
        <w:tc>
          <w:tcPr>
            <w:tcW w:w="12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价格</w:t>
            </w:r>
            <w:r/>
          </w:p>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6974" w:type="dxa"/>
            <w:textDirection w:val="lrTb"/>
            <w:noWrap w:val="false"/>
          </w:tcPr>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采用低价优先法，即满足采购文件要求且投标价格最低的投标报价为评标基准价，其价格分为满分。其他供应商的价格分按照下列公式计算（小数点保留两位）：报价得分=（评标基准价／投标报价）×15。</w:t>
            </w:r>
            <w:r/>
          </w:p>
        </w:tc>
        <w:tc>
          <w:tcPr>
            <w:tcW w:w="604"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15分</w:t>
            </w:r>
            <w:r/>
          </w:p>
        </w:tc>
      </w:tr>
      <w:tr>
        <w:trPr>
          <w:jc w:val="center"/>
          <w:trHeight w:val="1665"/>
        </w:trPr>
        <w:tc>
          <w:tcPr>
            <w:tcW w:w="758"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b/>
                <w:bCs/>
                <w:sz w:val="24"/>
                <w:szCs w:val="24"/>
              </w:rPr>
              <w:t xml:space="preserve">2</w:t>
            </w:r>
            <w:r/>
          </w:p>
        </w:tc>
        <w:tc>
          <w:tcPr>
            <w:tcW w:w="1242" w:type="dxa"/>
            <w:vAlign w:val="center"/>
            <w:textDirection w:val="lrTb"/>
            <w:noWrap w:val="false"/>
          </w:tcPr>
          <w:p>
            <w:pPr>
              <w:jc w:val="center"/>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项目总体实施方案</w:t>
            </w:r>
            <w:r/>
          </w:p>
          <w:p>
            <w:pPr>
              <w:jc w:val="center"/>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6974" w:type="dxa"/>
            <w:textDirection w:val="lrTb"/>
            <w:noWrap w:val="false"/>
          </w:tcPr>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根据本项目的白蚁危害情况，供应商提供具有针对性的白蚁防治总体服务项目实施方案 (基本工作流程，主要服务内容，服务质量，安全保障等 ) 的科学性、全面性、合理性、可行性、针对性等酌情打分：</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（1）方案优秀合理、可行且具有针对性的得10分；</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（2）方案良好、合理可行，针对性较强的得7分；</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（3）方案概述较好，满足项目需求的得4分；</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（4）方案表述一般、基本合理可行的得1分；</w:t>
            </w:r>
            <w:r/>
          </w:p>
          <w:p>
            <w:pPr>
              <w:spacing w:line="400" w:lineRule="exact"/>
              <w:rPr>
                <w:rFonts w:hint="eastAsia" w:ascii="仿宋" w:hAnsi="仿宋" w:eastAsia="仿宋" w:cs="仿宋"/>
                <w:sz w:val="24"/>
                <w:szCs w:val="24"/>
                <w:highlight w:val="white"/>
              </w:rPr>
            </w:pPr>
            <w:r>
              <w:rPr>
                <w:rFonts w:hint="eastAsia" w:ascii="仿宋" w:hAnsi="仿宋" w:eastAsia="仿宋" w:cs="仿宋"/>
                <w:sz w:val="24"/>
                <w:szCs w:val="24"/>
              </w:rPr>
              <w:t xml:space="preserve">（5）未提供不得分。</w:t>
            </w:r>
            <w:r/>
          </w:p>
        </w:tc>
        <w:tc>
          <w:tcPr>
            <w:tcW w:w="604"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b/>
                <w:bCs/>
                <w:sz w:val="24"/>
                <w:szCs w:val="24"/>
              </w:rPr>
              <w:t xml:space="preserve">10分</w:t>
            </w:r>
            <w:r/>
          </w:p>
        </w:tc>
      </w:tr>
      <w:tr>
        <w:trPr>
          <w:jc w:val="center"/>
          <w:trHeight w:val="3053"/>
        </w:trPr>
        <w:tc>
          <w:tcPr>
            <w:tcW w:w="758"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b/>
                <w:bCs/>
                <w:sz w:val="24"/>
                <w:szCs w:val="24"/>
              </w:rPr>
              <w:t xml:space="preserve">3</w:t>
            </w:r>
            <w:r/>
          </w:p>
        </w:tc>
        <w:tc>
          <w:tcPr>
            <w:tcW w:w="12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质量管理及保障措施</w:t>
            </w:r>
            <w:r/>
          </w:p>
        </w:tc>
        <w:tc>
          <w:tcPr>
            <w:tcW w:w="6974" w:type="dxa"/>
            <w:textDirection w:val="lrTb"/>
            <w:noWrap w:val="false"/>
          </w:tcPr>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根据供应商提供的质量目标及控制措施，包括对服务的质量承诺与质量评定方式，措施的全面性、符合性和可操作性进行评分：</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（1)方案全面，科学合理，可操作性强的得 10 分；</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(2)方案基本全面，较科学合理，可操作性较强的得7分；</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(3)方案基本可行，基本合理，可操作性一般的得 4 分；</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(4)方案不全面，不够合理，可操作性较差的得 1 分；</w:t>
            </w:r>
            <w:r/>
          </w:p>
          <w:p>
            <w:pPr>
              <w:ind w:firstLine="24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(5)未提供不得分</w:t>
            </w:r>
            <w:r>
              <w:rPr>
                <w:rFonts w:hint="eastAsia" w:ascii="仿宋" w:hAnsi="仿宋" w:eastAsia="仿宋" w:cs="仿宋"/>
                <w:bCs/>
                <w:sz w:val="24"/>
                <w:szCs w:val="24"/>
              </w:rPr>
              <w:t xml:space="preserve">。</w:t>
            </w:r>
            <w:r/>
          </w:p>
        </w:tc>
        <w:tc>
          <w:tcPr>
            <w:tcW w:w="604"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10分</w:t>
            </w:r>
            <w:r/>
          </w:p>
        </w:tc>
      </w:tr>
      <w:tr>
        <w:trPr>
          <w:jc w:val="center"/>
          <w:trHeight w:val="2461"/>
        </w:trPr>
        <w:tc>
          <w:tcPr>
            <w:tcW w:w="758" w:type="dxa"/>
            <w:vAlign w:val="center"/>
            <w:textDirection w:val="lrTb"/>
            <w:noWrap w:val="false"/>
          </w:tcPr>
          <w:p>
            <w:pPr>
              <w:jc w:val="center"/>
              <w:spacing w:line="400" w:lineRule="exact"/>
              <w:rPr>
                <w:rFonts w:hint="eastAsia" w:ascii="仿宋" w:hAnsi="仿宋" w:eastAsia="仿宋" w:cs="仿宋"/>
                <w:spacing w:val="-2"/>
                <w:sz w:val="24"/>
                <w:szCs w:val="24"/>
                <w:highlight w:val="white"/>
              </w:rPr>
            </w:pPr>
            <w:r>
              <w:rPr>
                <w:rFonts w:hint="eastAsia" w:ascii="仿宋" w:hAnsi="仿宋" w:eastAsia="仿宋" w:cs="仿宋"/>
                <w:b/>
                <w:bCs/>
                <w:sz w:val="24"/>
                <w:szCs w:val="24"/>
              </w:rPr>
              <w:t xml:space="preserve">4</w:t>
            </w:r>
            <w:r/>
          </w:p>
        </w:tc>
        <w:tc>
          <w:tcPr>
            <w:tcW w:w="1242"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bCs/>
                <w:sz w:val="24"/>
                <w:szCs w:val="24"/>
              </w:rPr>
              <w:t xml:space="preserve">进度控制及保障措施</w:t>
            </w:r>
            <w:r/>
          </w:p>
        </w:tc>
        <w:tc>
          <w:tcPr>
            <w:tcW w:w="6974" w:type="dxa"/>
            <w:textDirection w:val="lrTb"/>
            <w:noWrap w:val="false"/>
          </w:tcPr>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根据供应商提供的项目进度安排及控制措施来进行综合评审：</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（1）进度安排及控制措施全面、透彻且详细的得 10分；</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（2）进度安排及控制措施较为全面、透彻、详细的得 7分；</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（3）进度安排及控制措施较完整、基本全面的得4分；</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（4）进度安排及控制措施不全面、较差的得1分；</w:t>
            </w:r>
            <w:r/>
          </w:p>
          <w:p>
            <w:pPr>
              <w:ind w:firstLine="240"/>
              <w:jc w:val="left"/>
              <w:spacing w:line="400" w:lineRule="exact"/>
              <w:rPr>
                <w:rFonts w:hint="eastAsia" w:ascii="仿宋" w:hAnsi="仿宋" w:eastAsia="仿宋" w:cs="仿宋"/>
                <w:spacing w:val="1"/>
                <w:sz w:val="24"/>
                <w:szCs w:val="24"/>
                <w:highlight w:val="white"/>
              </w:rPr>
            </w:pPr>
            <w:r>
              <w:rPr>
                <w:rFonts w:hint="eastAsia" w:ascii="仿宋" w:hAnsi="仿宋" w:eastAsia="仿宋" w:cs="仿宋"/>
                <w:sz w:val="24"/>
                <w:szCs w:val="24"/>
              </w:rPr>
              <w:t xml:space="preserve">（5）未提供不得分</w:t>
            </w:r>
            <w:r>
              <w:rPr>
                <w:rFonts w:hint="eastAsia" w:ascii="仿宋" w:hAnsi="仿宋" w:eastAsia="仿宋" w:cs="仿宋"/>
                <w:bCs/>
                <w:sz w:val="24"/>
                <w:szCs w:val="24"/>
              </w:rPr>
              <w:t xml:space="preserve">。</w:t>
            </w:r>
            <w:r/>
          </w:p>
        </w:tc>
        <w:tc>
          <w:tcPr>
            <w:tcW w:w="604"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b/>
                <w:bCs/>
                <w:sz w:val="24"/>
                <w:szCs w:val="24"/>
              </w:rPr>
              <w:t xml:space="preserve">10分</w:t>
            </w:r>
            <w:r/>
          </w:p>
        </w:tc>
      </w:tr>
      <w:tr>
        <w:trPr>
          <w:jc w:val="center"/>
          <w:trHeight w:val="1252"/>
        </w:trPr>
        <w:tc>
          <w:tcPr>
            <w:tcW w:w="758" w:type="dxa"/>
            <w:vAlign w:val="center"/>
            <w:textDirection w:val="lrTb"/>
            <w:noWrap w:val="false"/>
          </w:tcPr>
          <w:p>
            <w:pPr>
              <w:jc w:val="center"/>
              <w:spacing w:line="400" w:lineRule="exact"/>
              <w:rPr>
                <w:rFonts w:hint="eastAsia" w:ascii="仿宋" w:hAnsi="仿宋" w:eastAsia="仿宋" w:cs="仿宋"/>
                <w:spacing w:val="-2"/>
                <w:sz w:val="24"/>
                <w:szCs w:val="24"/>
                <w:highlight w:val="white"/>
              </w:rPr>
            </w:pPr>
            <w:r>
              <w:rPr>
                <w:rFonts w:hint="eastAsia" w:ascii="仿宋" w:hAnsi="仿宋" w:eastAsia="仿宋" w:cs="仿宋"/>
                <w:b/>
                <w:bCs/>
                <w:sz w:val="24"/>
                <w:szCs w:val="24"/>
              </w:rPr>
              <w:t xml:space="preserve">5</w:t>
            </w:r>
            <w:r/>
          </w:p>
        </w:tc>
        <w:tc>
          <w:tcPr>
            <w:tcW w:w="1242"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bCs/>
                <w:sz w:val="24"/>
                <w:szCs w:val="24"/>
              </w:rPr>
              <w:t xml:space="preserve">重难点分析</w:t>
            </w:r>
            <w:r/>
          </w:p>
        </w:tc>
        <w:tc>
          <w:tcPr>
            <w:tcW w:w="6974" w:type="dxa"/>
            <w:textDirection w:val="lrTb"/>
            <w:noWrap w:val="false"/>
          </w:tcPr>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根据供应商针对本服务项目白蚁危害现状的难点、重点进行分析，且能提出明确的针对性的措施方法，并对管辖区域白蚁防治相关工作提出积极可行的合理意见等酌情评分：</w:t>
            </w:r>
            <w:r/>
          </w:p>
          <w:p>
            <w:pPr>
              <w:ind w:firstLine="24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（1）方案优秀合理、可行且具有针对性的得10分；</w:t>
            </w:r>
            <w:r/>
          </w:p>
          <w:p>
            <w:pPr>
              <w:ind w:firstLine="24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（2）方案良好、合理可行，针对性较强的得7分；</w:t>
            </w:r>
            <w:r/>
          </w:p>
          <w:p>
            <w:pPr>
              <w:ind w:firstLine="24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（3）方案概述较好，满足项目需求的得4分；</w:t>
            </w:r>
            <w:r/>
          </w:p>
          <w:p>
            <w:pPr>
              <w:ind w:firstLine="24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（4）方案表述一般、基本合理可行的得1分；</w:t>
            </w:r>
            <w:r/>
          </w:p>
          <w:p>
            <w:pPr>
              <w:ind w:firstLine="240"/>
              <w:jc w:val="left"/>
              <w:spacing w:line="400" w:lineRule="exact"/>
              <w:rPr>
                <w:rFonts w:hint="eastAsia" w:ascii="仿宋" w:hAnsi="仿宋" w:eastAsia="仿宋" w:cs="仿宋"/>
                <w:spacing w:val="1"/>
                <w:sz w:val="24"/>
                <w:szCs w:val="24"/>
                <w:highlight w:val="white"/>
              </w:rPr>
            </w:pPr>
            <w:r>
              <w:rPr>
                <w:rFonts w:hint="eastAsia" w:ascii="仿宋" w:hAnsi="仿宋" w:eastAsia="仿宋" w:cs="仿宋"/>
                <w:sz w:val="24"/>
                <w:szCs w:val="24"/>
              </w:rPr>
              <w:t xml:space="preserve">（5）未提供不得分。。</w:t>
            </w:r>
            <w:r/>
          </w:p>
        </w:tc>
        <w:tc>
          <w:tcPr>
            <w:tcW w:w="604" w:type="dxa"/>
            <w:vAlign w:val="center"/>
            <w:textDirection w:val="lrTb"/>
            <w:noWrap w:val="false"/>
          </w:tcPr>
          <w:p>
            <w:pPr>
              <w:jc w:val="center"/>
              <w:spacing w:line="400" w:lineRule="exact"/>
              <w:rPr>
                <w:rFonts w:hint="eastAsia" w:ascii="仿宋" w:hAnsi="仿宋" w:eastAsia="仿宋" w:cs="仿宋"/>
                <w:spacing w:val="1"/>
                <w:sz w:val="24"/>
                <w:szCs w:val="24"/>
                <w:highlight w:val="white"/>
              </w:rPr>
            </w:pPr>
            <w:r>
              <w:rPr>
                <w:rFonts w:hint="eastAsia" w:ascii="仿宋" w:hAnsi="仿宋" w:eastAsia="仿宋" w:cs="仿宋"/>
                <w:b/>
                <w:bCs/>
                <w:sz w:val="24"/>
                <w:szCs w:val="24"/>
              </w:rPr>
              <w:t xml:space="preserve">10分</w:t>
            </w:r>
            <w:r/>
          </w:p>
        </w:tc>
      </w:tr>
      <w:tr>
        <w:trPr>
          <w:jc w:val="center"/>
          <w:trHeight w:val="3299"/>
        </w:trPr>
        <w:tc>
          <w:tcPr>
            <w:tcW w:w="758" w:type="dxa"/>
            <w:vAlign w:val="center"/>
            <w:textDirection w:val="lrTb"/>
            <w:noWrap w:val="false"/>
          </w:tcPr>
          <w:p>
            <w:pPr>
              <w:jc w:val="center"/>
              <w:spacing w:line="400" w:lineRule="exact"/>
              <w:rPr>
                <w:rFonts w:hint="eastAsia" w:ascii="仿宋" w:hAnsi="仿宋" w:eastAsia="仿宋" w:cs="仿宋"/>
                <w:spacing w:val="-2"/>
                <w:sz w:val="24"/>
                <w:szCs w:val="24"/>
                <w:highlight w:val="white"/>
              </w:rPr>
            </w:pPr>
            <w:r>
              <w:rPr>
                <w:rFonts w:hint="eastAsia" w:ascii="仿宋" w:hAnsi="仿宋" w:eastAsia="仿宋" w:cs="仿宋"/>
                <w:b/>
                <w:bCs/>
                <w:sz w:val="24"/>
                <w:szCs w:val="24"/>
              </w:rPr>
              <w:t xml:space="preserve">6</w:t>
            </w:r>
            <w:r/>
          </w:p>
        </w:tc>
        <w:tc>
          <w:tcPr>
            <w:tcW w:w="1242"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sz w:val="24"/>
                <w:szCs w:val="24"/>
              </w:rPr>
              <w:t xml:space="preserve">组织机构及人员配备</w:t>
            </w:r>
            <w:r/>
          </w:p>
        </w:tc>
        <w:tc>
          <w:tcPr>
            <w:tcW w:w="6974" w:type="dxa"/>
            <w:textDirection w:val="lrTb"/>
            <w:noWrap w:val="false"/>
          </w:tcPr>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根据供应商提供的组织机构及人员配备来综合评分：</w:t>
            </w:r>
            <w:r/>
          </w:p>
          <w:p>
            <w:pPr>
              <w:numPr>
                <w:ilvl w:val="0"/>
                <w:numId w:val="6"/>
              </w:num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组织机构完整，人员配备满足要求，用人计划完善的得10分；</w:t>
            </w:r>
            <w:r/>
          </w:p>
          <w:p>
            <w:pPr>
              <w:numPr>
                <w:ilvl w:val="0"/>
                <w:numId w:val="6"/>
              </w:num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组织机构较为完整，人员配备基本满足要求，用人计划较为完善的得7分；</w:t>
            </w:r>
            <w:r/>
          </w:p>
          <w:p>
            <w:pPr>
              <w:ind w:firstLine="480"/>
              <w:spacing w:line="400" w:lineRule="exact"/>
              <w:rPr>
                <w:rFonts w:hint="eastAsia" w:ascii="仿宋" w:hAnsi="仿宋" w:eastAsia="仿宋" w:cs="仿宋"/>
                <w:bCs/>
                <w:sz w:val="24"/>
                <w:szCs w:val="24"/>
              </w:rPr>
            </w:pPr>
            <w:r>
              <w:rPr>
                <w:rFonts w:hint="eastAsia" w:ascii="仿宋" w:hAnsi="仿宋" w:eastAsia="仿宋" w:cs="仿宋"/>
                <w:sz w:val="24"/>
                <w:szCs w:val="24"/>
              </w:rPr>
              <w:t xml:space="preserve">（3）组织机构不完整，人员配备基本满足要求，用人计划一般的得4分；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（4）组织机构不全面、</w:t>
            </w:r>
            <w:r>
              <w:rPr>
                <w:rFonts w:hint="eastAsia" w:ascii="仿宋" w:hAnsi="仿宋" w:eastAsia="仿宋" w:cs="仿宋"/>
                <w:sz w:val="24"/>
                <w:szCs w:val="24"/>
              </w:rPr>
              <w:t xml:space="preserve">人员配备不满足要求，用人计划</w:t>
            </w:r>
            <w:r>
              <w:rPr>
                <w:rFonts w:hint="eastAsia" w:ascii="仿宋" w:hAnsi="仿宋" w:eastAsia="仿宋" w:cs="仿宋"/>
                <w:sz w:val="24"/>
                <w:szCs w:val="24"/>
              </w:rPr>
              <w:t xml:space="preserve">不完善的得1分，</w:t>
            </w:r>
            <w:r/>
          </w:p>
          <w:p>
            <w:pPr>
              <w:ind w:firstLine="480"/>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（5）未提供材料的不得分。</w:t>
            </w:r>
            <w:r/>
          </w:p>
        </w:tc>
        <w:tc>
          <w:tcPr>
            <w:tcW w:w="604"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b/>
                <w:bCs/>
                <w:sz w:val="24"/>
                <w:szCs w:val="24"/>
              </w:rPr>
              <w:t xml:space="preserve">10分</w:t>
            </w:r>
            <w:r/>
          </w:p>
        </w:tc>
      </w:tr>
      <w:tr>
        <w:trPr>
          <w:jc w:val="center"/>
          <w:trHeight w:val="869"/>
        </w:trPr>
        <w:tc>
          <w:tcPr>
            <w:tcW w:w="758" w:type="dxa"/>
            <w:vAlign w:val="center"/>
            <w:textDirection w:val="lrTb"/>
            <w:noWrap w:val="false"/>
          </w:tcPr>
          <w:p>
            <w:pPr>
              <w:jc w:val="center"/>
              <w:spacing w:line="400" w:lineRule="exact"/>
              <w:rPr>
                <w:rFonts w:hint="eastAsia" w:ascii="仿宋" w:hAnsi="仿宋" w:eastAsia="仿宋" w:cs="仿宋"/>
                <w:spacing w:val="-2"/>
                <w:sz w:val="24"/>
                <w:szCs w:val="24"/>
                <w:highlight w:val="white"/>
              </w:rPr>
            </w:pPr>
            <w:r>
              <w:rPr>
                <w:rFonts w:hint="eastAsia" w:ascii="仿宋" w:hAnsi="仿宋" w:eastAsia="仿宋" w:cs="仿宋"/>
                <w:b/>
                <w:bCs/>
                <w:sz w:val="24"/>
                <w:szCs w:val="24"/>
              </w:rPr>
              <w:t xml:space="preserve">7</w:t>
            </w:r>
            <w:r/>
          </w:p>
        </w:tc>
        <w:tc>
          <w:tcPr>
            <w:tcW w:w="1242"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sz w:val="24"/>
                <w:szCs w:val="24"/>
              </w:rPr>
              <w:t xml:space="preserve">档案、资料管理</w:t>
            </w:r>
            <w:r/>
          </w:p>
        </w:tc>
        <w:tc>
          <w:tcPr>
            <w:tcW w:w="6974" w:type="dxa"/>
            <w:textDirection w:val="lrTb"/>
            <w:noWrap w:val="false"/>
          </w:tcPr>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根据供应商提供的档案、资料的规范性、完整性、真实性、时效性、可追溯性等管理措施来综合评分：</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（1）档案、资料管理制度非常完善，无瑕疵的得5分；</w:t>
            </w:r>
            <w:r/>
          </w:p>
          <w:p>
            <w:pPr>
              <w:ind w:left="239"/>
              <w:spacing w:line="400" w:lineRule="exact"/>
              <w:rPr>
                <w:rFonts w:hint="eastAsia" w:ascii="仿宋" w:hAnsi="仿宋" w:eastAsia="仿宋" w:cs="仿宋"/>
                <w:sz w:val="24"/>
                <w:szCs w:val="24"/>
              </w:rPr>
            </w:pPr>
            <w:r>
              <w:rPr>
                <w:rFonts w:hint="eastAsia" w:ascii="仿宋" w:hAnsi="仿宋" w:eastAsia="仿宋" w:cs="仿宋"/>
                <w:spacing w:val="1"/>
                <w:sz w:val="24"/>
                <w:szCs w:val="24"/>
              </w:rPr>
              <w:t xml:space="preserve">（2）</w:t>
            </w:r>
            <w:r>
              <w:rPr>
                <w:rFonts w:hint="eastAsia" w:ascii="仿宋" w:hAnsi="仿宋" w:eastAsia="仿宋" w:cs="仿宋"/>
                <w:sz w:val="24"/>
                <w:szCs w:val="24"/>
              </w:rPr>
              <w:t xml:space="preserve">档案、资料管理制度较完善，无明显瑕疵的得3分； </w:t>
            </w:r>
            <w:r/>
          </w:p>
          <w:p>
            <w:pPr>
              <w:ind w:firstLine="242"/>
              <w:spacing w:line="400" w:lineRule="exact"/>
              <w:rPr>
                <w:rFonts w:hint="eastAsia" w:ascii="仿宋" w:hAnsi="仿宋" w:eastAsia="仿宋" w:cs="仿宋"/>
                <w:spacing w:val="1"/>
                <w:sz w:val="24"/>
                <w:szCs w:val="24"/>
              </w:rPr>
            </w:pPr>
            <w:r>
              <w:rPr>
                <w:rFonts w:hint="eastAsia" w:ascii="仿宋" w:hAnsi="仿宋" w:eastAsia="仿宋" w:cs="仿宋"/>
                <w:spacing w:val="1"/>
                <w:sz w:val="24"/>
                <w:szCs w:val="24"/>
              </w:rPr>
              <w:t xml:space="preserve">（3）档案、资料管理制度一般，瑕疵较少的得1分；</w:t>
            </w:r>
            <w:r/>
          </w:p>
          <w:p>
            <w:pPr>
              <w:ind w:firstLine="242"/>
              <w:spacing w:line="400" w:lineRule="exact"/>
              <w:rPr>
                <w:rFonts w:hint="eastAsia" w:ascii="仿宋" w:hAnsi="仿宋" w:eastAsia="仿宋" w:cs="仿宋"/>
                <w:spacing w:val="1"/>
                <w:sz w:val="24"/>
                <w:szCs w:val="24"/>
                <w:highlight w:val="white"/>
              </w:rPr>
            </w:pPr>
            <w:r>
              <w:rPr>
                <w:rFonts w:hint="eastAsia" w:ascii="仿宋" w:hAnsi="仿宋" w:eastAsia="仿宋" w:cs="仿宋"/>
                <w:spacing w:val="1"/>
                <w:sz w:val="24"/>
                <w:szCs w:val="24"/>
              </w:rPr>
              <w:t xml:space="preserve">（4）</w:t>
            </w:r>
            <w:r>
              <w:rPr>
                <w:rFonts w:hint="eastAsia" w:ascii="仿宋" w:hAnsi="仿宋" w:eastAsia="仿宋" w:cs="仿宋"/>
                <w:bCs/>
                <w:sz w:val="24"/>
                <w:szCs w:val="24"/>
              </w:rPr>
              <w:t xml:space="preserve">未提供材料的不得分</w:t>
            </w:r>
            <w:r>
              <w:rPr>
                <w:rFonts w:hint="eastAsia" w:ascii="仿宋" w:hAnsi="仿宋" w:eastAsia="仿宋" w:cs="仿宋"/>
                <w:sz w:val="24"/>
                <w:szCs w:val="24"/>
              </w:rPr>
              <w:t xml:space="preserve">。</w:t>
            </w:r>
            <w:r/>
          </w:p>
        </w:tc>
        <w:tc>
          <w:tcPr>
            <w:tcW w:w="604"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b/>
                <w:bCs/>
                <w:sz w:val="24"/>
                <w:szCs w:val="24"/>
              </w:rPr>
              <w:t xml:space="preserve">5分</w:t>
            </w:r>
            <w:r/>
          </w:p>
        </w:tc>
      </w:tr>
      <w:tr>
        <w:trPr>
          <w:jc w:val="center"/>
          <w:trHeight w:val="869"/>
        </w:trPr>
        <w:tc>
          <w:tcPr>
            <w:tcW w:w="758" w:type="dxa"/>
            <w:vAlign w:val="center"/>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8</w:t>
            </w:r>
            <w:r/>
          </w:p>
        </w:tc>
        <w:tc>
          <w:tcPr>
            <w:tcW w:w="1242"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药物及材料使用方案</w:t>
            </w:r>
            <w:r/>
          </w:p>
        </w:tc>
        <w:tc>
          <w:tcPr>
            <w:tcW w:w="6974" w:type="dxa"/>
            <w:vAlign w:val="center"/>
            <w:textDirection w:val="lrTb"/>
            <w:noWrap w:val="false"/>
          </w:tcPr>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供应商针对本项目的白蚁危害情况，提供针对性的药物及材料使用方案（包含药物及材料的选用、布置、用量与可行性试验报告）来综合评分：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（1）方案优秀合理、可行且具有针对性的得5分；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（2）方案良好、合理可行，针对性较强的得3分；</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（3）方案表述一般、基本合理可行的得1分；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（4）未提供不得分。</w:t>
            </w:r>
            <w:r/>
          </w:p>
        </w:tc>
        <w:tc>
          <w:tcPr>
            <w:tcW w:w="604"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2803"/>
        </w:trPr>
        <w:tc>
          <w:tcPr>
            <w:tcW w:w="758" w:type="dxa"/>
            <w:vAlign w:val="center"/>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9</w:t>
            </w:r>
            <w:r/>
          </w:p>
        </w:tc>
        <w:tc>
          <w:tcPr>
            <w:tcW w:w="12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企业实力</w:t>
            </w:r>
            <w:r/>
          </w:p>
        </w:tc>
        <w:tc>
          <w:tcPr>
            <w:tcW w:w="6974" w:type="dxa"/>
            <w:vAlign w:val="center"/>
            <w:textDirection w:val="lrTb"/>
            <w:noWrap w:val="false"/>
          </w:tcPr>
          <w:p>
            <w:pPr>
              <w:pStyle w:val="750"/>
              <w:spacing w:beforeAutospacing="0" w:afterAutospacing="0" w:line="400" w:lineRule="exact"/>
              <w:widowControl/>
              <w:rPr>
                <w:rFonts w:hint="eastAsia" w:ascii="仿宋" w:hAnsi="仿宋" w:eastAsia="仿宋" w:cs="仿宋"/>
                <w:szCs w:val="24"/>
              </w:rPr>
            </w:pPr>
            <w:r>
              <w:rPr>
                <w:rFonts w:hint="eastAsia" w:ascii="仿宋" w:hAnsi="仿宋" w:eastAsia="仿宋" w:cs="仿宋"/>
                <w:szCs w:val="24"/>
              </w:rPr>
              <w:t xml:space="preserve">1.供应商针对本项目拟投入的运输车辆提供一辆得1分，满分2分。 (适用施工车辆参考车型：轿车、货车（用于运输施工机械和药水）。供应商提供加盖供应商公章的车辆行驶证、登记证复印件和车辆标准照片、提供设备的发票，如车辆为租赁的，则还需提供租赁协议复印件加盖公章。) </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针对本项目提供的施工器械（包含喷雾机、钻孔机、灌浆机、发电机、抽水机、夯土机、挖巢设备等），提供服务本项目完整的施工器械的得4分，每少一项扣0.5分，满分4分。（提供设备的发票（或租赁协议）、照等证明材料）</w:t>
            </w:r>
            <w:r/>
          </w:p>
        </w:tc>
        <w:tc>
          <w:tcPr>
            <w:tcW w:w="604" w:type="dxa"/>
            <w:vAlign w:val="center"/>
            <w:textDirection w:val="lrTb"/>
            <w:noWrap w:val="false"/>
          </w:tcPr>
          <w:p>
            <w:pPr>
              <w:pStyle w:val="759"/>
              <w:ind w:firstLine="0"/>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6分</w:t>
            </w:r>
            <w:r/>
          </w:p>
        </w:tc>
      </w:tr>
      <w:tr>
        <w:trPr>
          <w:jc w:val="center"/>
          <w:trHeight w:val="483"/>
        </w:trPr>
        <w:tc>
          <w:tcPr>
            <w:tcW w:w="758" w:type="dxa"/>
            <w:vAlign w:val="center"/>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10</w:t>
            </w:r>
            <w:r/>
          </w:p>
        </w:tc>
        <w:tc>
          <w:tcPr>
            <w:tcW w:w="12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项目组人员</w:t>
            </w:r>
            <w:r/>
          </w:p>
        </w:tc>
        <w:tc>
          <w:tcPr>
            <w:tcW w:w="6974"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1.供应商针对本项目拟投入的现场负责人：具有</w:t>
            </w:r>
            <w:r>
              <w:rPr>
                <w:rFonts w:hint="eastAsia" w:ascii="仿宋" w:hAnsi="仿宋" w:eastAsia="仿宋" w:cs="仿宋"/>
                <w:sz w:val="24"/>
                <w:szCs w:val="24"/>
              </w:rPr>
              <w:t xml:space="preserve">白蚁防治</w:t>
            </w:r>
            <w:r>
              <w:rPr>
                <w:rFonts w:hint="eastAsia" w:ascii="仿宋" w:hAnsi="仿宋" w:eastAsia="仿宋" w:cs="仿宋"/>
                <w:sz w:val="24"/>
                <w:szCs w:val="24"/>
              </w:rPr>
              <w:t xml:space="preserve">相关中级及以上</w:t>
            </w:r>
            <w:r>
              <w:rPr>
                <w:rFonts w:hint="eastAsia" w:ascii="仿宋" w:hAnsi="仿宋" w:eastAsia="仿宋" w:cs="仿宋"/>
                <w:sz w:val="24"/>
                <w:szCs w:val="24"/>
              </w:rPr>
              <w:t xml:space="preserve">职称证书的得4分，满分4分。（提供相关证书复印件加盖公章，未提供证明材料的不得分。）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2.拟投入本项目的技术人员（现场负责人除外</w:t>
            </w:r>
            <w:r>
              <w:rPr>
                <w:rFonts w:hint="eastAsia" w:ascii="仿宋" w:hAnsi="仿宋" w:eastAsia="仿宋" w:cs="仿宋"/>
                <w:sz w:val="24"/>
                <w:szCs w:val="24"/>
              </w:rPr>
              <w:t xml:space="preserve">）</w:t>
            </w:r>
            <w:r>
              <w:rPr>
                <w:rFonts w:hint="eastAsia" w:ascii="仿宋" w:hAnsi="仿宋" w:eastAsia="仿宋" w:cs="仿宋"/>
                <w:sz w:val="24"/>
                <w:szCs w:val="24"/>
              </w:rPr>
              <w:t xml:space="preserve">：具有</w:t>
            </w:r>
            <w:r>
              <w:rPr>
                <w:rFonts w:hint="eastAsia" w:ascii="仿宋" w:hAnsi="仿宋" w:eastAsia="仿宋" w:cs="仿宋"/>
                <w:sz w:val="24"/>
                <w:szCs w:val="24"/>
              </w:rPr>
              <w:t xml:space="preserve">白蚁防治相关中级及以上职称证书</w:t>
            </w:r>
            <w:r>
              <w:rPr>
                <w:rFonts w:hint="eastAsia" w:ascii="仿宋" w:hAnsi="仿宋" w:eastAsia="仿宋" w:cs="仿宋"/>
                <w:sz w:val="24"/>
                <w:szCs w:val="24"/>
              </w:rPr>
              <w:t xml:space="preserve">，每提供1名符合要求的技术人员得3分，满分9分。</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1、提供相关证书复印件加盖公章，未提供证明材料的不得分。2、以上所有项目组人员须具有近半年（2025年5月至2025年10月）任意一个月供应商为其连续缴纳的由劳动和社会保障部门出具的养老保险缴纳凭证。（高校或军队的事业编制人员无法提供社保证明，须提供所在单位上级人事组织或编制主管部门出具的人员编制核准证明材料；退休人员无法提供社保证明，须提供本人退休证和劳动合同。</w:t>
            </w:r>
            <w:r/>
          </w:p>
        </w:tc>
        <w:tc>
          <w:tcPr>
            <w:tcW w:w="604" w:type="dxa"/>
            <w:vAlign w:val="center"/>
            <w:textDirection w:val="lrTb"/>
            <w:noWrap w:val="false"/>
          </w:tcPr>
          <w:p>
            <w:pPr>
              <w:pStyle w:val="759"/>
              <w:ind w:firstLine="0"/>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13分</w:t>
            </w:r>
            <w:r/>
          </w:p>
        </w:tc>
      </w:tr>
      <w:tr>
        <w:trPr>
          <w:jc w:val="center"/>
          <w:trHeight w:val="1821"/>
        </w:trPr>
        <w:tc>
          <w:tcPr>
            <w:tcW w:w="758" w:type="dxa"/>
            <w:vAlign w:val="center"/>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11</w:t>
            </w:r>
            <w:r/>
          </w:p>
        </w:tc>
        <w:tc>
          <w:tcPr>
            <w:tcW w:w="12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业绩</w:t>
            </w:r>
            <w:r/>
          </w:p>
        </w:tc>
        <w:tc>
          <w:tcPr>
            <w:tcW w:w="6974" w:type="dxa"/>
            <w:vAlign w:val="center"/>
            <w:textDirection w:val="lrTb"/>
            <w:noWrap w:val="false"/>
          </w:tcPr>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人在2022年11月1日（含）以来，具有类似白蚁防治业绩的，每提供一个得3分，满分6分。（时间以合同为准，提供合同复印件、中标通知书、完工验收证明等，所提供的材料需加盖投标人公章。提供的证明材料须反映出时间、标的内容等相关信息，否则视为未提供）</w:t>
            </w:r>
            <w:r/>
          </w:p>
        </w:tc>
        <w:tc>
          <w:tcPr>
            <w:tcW w:w="604" w:type="dxa"/>
            <w:vAlign w:val="center"/>
            <w:textDirection w:val="lrTb"/>
            <w:noWrap w:val="false"/>
          </w:tcPr>
          <w:p>
            <w:pPr>
              <w:pStyle w:val="759"/>
              <w:ind w:firstLine="0"/>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6分</w:t>
            </w:r>
            <w:r/>
          </w:p>
        </w:tc>
      </w:tr>
      <w:tr>
        <w:trPr>
          <w:jc w:val="center"/>
          <w:trHeight w:val="747"/>
        </w:trPr>
        <w:tc>
          <w:tcPr>
            <w:gridSpan w:val="3"/>
            <w:tcW w:w="8974" w:type="dxa"/>
            <w:textDirection w:val="lrTb"/>
            <w:noWrap w:val="false"/>
          </w:tcPr>
          <w:p>
            <w:pPr>
              <w:jc w:val="center"/>
              <w:spacing w:line="400" w:lineRule="exact"/>
              <w:rPr>
                <w:rFonts w:hint="eastAsia" w:ascii="仿宋" w:hAnsi="仿宋" w:eastAsia="仿宋" w:cs="仿宋"/>
                <w:spacing w:val="1"/>
                <w:sz w:val="24"/>
                <w:szCs w:val="24"/>
                <w:highlight w:val="white"/>
              </w:rPr>
            </w:pPr>
            <w:r>
              <w:rPr>
                <w:rFonts w:hint="eastAsia" w:ascii="仿宋" w:hAnsi="仿宋" w:eastAsia="仿宋" w:cs="仿宋"/>
                <w:b/>
                <w:bCs/>
                <w:sz w:val="24"/>
                <w:szCs w:val="24"/>
              </w:rPr>
              <w:t xml:space="preserve">合                计</w:t>
            </w:r>
            <w:r/>
          </w:p>
        </w:tc>
        <w:tc>
          <w:tcPr>
            <w:tcW w:w="604" w:type="dxa"/>
            <w:vAlign w:val="center"/>
            <w:textDirection w:val="lrTb"/>
            <w:noWrap w:val="false"/>
          </w:tcPr>
          <w:p>
            <w:pPr>
              <w:jc w:val="center"/>
              <w:spacing w:line="400" w:lineRule="exact"/>
              <w:rPr>
                <w:rFonts w:hint="eastAsia" w:ascii="仿宋" w:hAnsi="仿宋" w:eastAsia="仿宋" w:cs="仿宋"/>
                <w:sz w:val="24"/>
                <w:szCs w:val="24"/>
                <w:highlight w:val="white"/>
              </w:rPr>
            </w:pPr>
            <w:r>
              <w:rPr>
                <w:rFonts w:hint="eastAsia" w:ascii="仿宋" w:hAnsi="仿宋" w:eastAsia="仿宋" w:cs="仿宋"/>
                <w:b/>
                <w:bCs/>
                <w:sz w:val="24"/>
                <w:szCs w:val="24"/>
              </w:rPr>
              <w:t xml:space="preserve">100分</w:t>
            </w:r>
            <w:r/>
          </w:p>
        </w:tc>
      </w:tr>
    </w:tbl>
    <w:p>
      <w:pPr>
        <w:spacing w:line="400" w:lineRule="exact"/>
      </w:pPr>
      <w:r>
        <w:rPr>
          <w:rFonts w:hint="eastAsia"/>
        </w:rPr>
        <w:br w:type="page" w:clear="all"/>
      </w:r>
      <w:r/>
    </w:p>
    <w:p>
      <w:r/>
      <w:r/>
    </w:p>
    <w:p>
      <w:pPr>
        <w:jc w:val="center"/>
        <w:keepNext/>
        <w:spacing w:line="360" w:lineRule="auto"/>
        <w:rPr>
          <w:rFonts w:hint="eastAsia" w:ascii="仿宋" w:hAnsi="仿宋" w:eastAsia="仿宋" w:cs="仿宋"/>
          <w:bCs/>
          <w:sz w:val="24"/>
          <w:szCs w:val="24"/>
          <w:highlight w:val="white"/>
        </w:rPr>
        <w:outlineLvl w:val="0"/>
      </w:pPr>
      <w:r>
        <w:rPr>
          <w:rFonts w:hint="eastAsia" w:ascii="仿宋" w:hAnsi="仿宋" w:eastAsia="仿宋" w:cs="仿宋"/>
          <w:b/>
          <w:bCs/>
          <w:sz w:val="24"/>
          <w:szCs w:val="24"/>
          <w:highlight w:val="white"/>
        </w:rPr>
        <w:t xml:space="preserve">第六章  </w:t>
      </w:r>
      <w:bookmarkEnd w:id="175"/>
      <w:r/>
      <w:bookmarkEnd w:id="176"/>
      <w:r/>
      <w:bookmarkEnd w:id="177"/>
      <w:r>
        <w:rPr>
          <w:rFonts w:hint="eastAsia" w:ascii="仿宋" w:hAnsi="仿宋" w:eastAsia="仿宋" w:cs="仿宋"/>
          <w:b/>
          <w:bCs/>
          <w:sz w:val="24"/>
          <w:szCs w:val="24"/>
          <w:highlight w:val="white"/>
        </w:rPr>
        <w:t xml:space="preserve">响应文件格式</w:t>
      </w:r>
      <w:r/>
    </w:p>
    <w:p>
      <w:pPr>
        <w:jc w:val="center"/>
        <w:spacing w:line="360" w:lineRule="auto"/>
        <w:rPr>
          <w:rFonts w:hint="eastAsia" w:ascii="仿宋" w:hAnsi="仿宋" w:eastAsia="仿宋" w:cs="仿宋"/>
          <w:b/>
          <w:sz w:val="24"/>
          <w:szCs w:val="24"/>
          <w:highlight w:val="white"/>
        </w:rPr>
      </w:pPr>
      <w:r/>
      <w:bookmarkStart w:id="182" w:name="_Hlt26671244"/>
      <w:r/>
      <w:bookmarkStart w:id="183" w:name="_Hlt26955039"/>
      <w:r/>
      <w:bookmarkStart w:id="184" w:name="_Toc120614282"/>
      <w:r/>
      <w:bookmarkStart w:id="185" w:name="_Toc49090576"/>
      <w:r/>
      <w:bookmarkStart w:id="186" w:name="_Toc26554094"/>
      <w:r/>
      <w:bookmarkEnd w:id="182"/>
      <w:r/>
      <w:bookmarkEnd w:id="183"/>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响  应  文  件</w:t>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ind w:firstLine="1084"/>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项 目 名 称：</w:t>
      </w:r>
      <w:r>
        <w:rPr>
          <w:rFonts w:hint="eastAsia" w:ascii="仿宋" w:hAnsi="仿宋" w:eastAsia="仿宋" w:cs="仿宋"/>
          <w:b/>
          <w:sz w:val="24"/>
          <w:szCs w:val="24"/>
          <w:highlight w:val="white"/>
          <w:u w:val="single"/>
        </w:rPr>
        <w:t xml:space="preserve">                   </w:t>
      </w:r>
      <w:r/>
    </w:p>
    <w:p>
      <w:pPr>
        <w:ind w:firstLine="1084"/>
        <w:spacing w:line="360" w:lineRule="auto"/>
        <w:rPr>
          <w:rFonts w:hint="eastAsia" w:ascii="仿宋" w:hAnsi="仿宋" w:eastAsia="仿宋" w:cs="仿宋"/>
          <w:b/>
          <w:sz w:val="24"/>
          <w:szCs w:val="24"/>
          <w:highlight w:val="white"/>
          <w:u w:val="single"/>
        </w:rPr>
      </w:pPr>
      <w:r>
        <w:rPr>
          <w:rFonts w:hint="eastAsia" w:ascii="仿宋" w:hAnsi="仿宋" w:eastAsia="仿宋" w:cs="仿宋"/>
          <w:b/>
          <w:sz w:val="24"/>
          <w:szCs w:val="24"/>
          <w:highlight w:val="white"/>
        </w:rPr>
        <w:t xml:space="preserve">项 目 编 号：</w:t>
      </w:r>
      <w:r>
        <w:rPr>
          <w:rFonts w:hint="eastAsia" w:ascii="仿宋" w:hAnsi="仿宋" w:eastAsia="仿宋" w:cs="仿宋"/>
          <w:b/>
          <w:sz w:val="24"/>
          <w:szCs w:val="24"/>
          <w:highlight w:val="white"/>
          <w:u w:val="single"/>
        </w:rPr>
        <w:t xml:space="preserve">                   </w:t>
      </w:r>
      <w:r/>
    </w:p>
    <w:p>
      <w:pPr>
        <w:spacing w:line="360" w:lineRule="auto"/>
        <w:rPr>
          <w:rFonts w:hint="eastAsia" w:ascii="仿宋" w:hAnsi="仿宋" w:eastAsia="仿宋" w:cs="仿宋"/>
          <w:b/>
          <w:sz w:val="24"/>
          <w:szCs w:val="24"/>
          <w:highlight w:val="white"/>
          <w:u w:val="single"/>
        </w:rPr>
      </w:pPr>
      <w:r>
        <w:rPr>
          <w:rFonts w:hint="eastAsia" w:ascii="仿宋" w:hAnsi="仿宋" w:eastAsia="仿宋" w:cs="仿宋"/>
          <w:b/>
          <w:sz w:val="24"/>
          <w:szCs w:val="24"/>
          <w:highlight w:val="white"/>
        </w:rPr>
        <w:t xml:space="preserve">         供应商名称 ：</w:t>
      </w:r>
      <w:r>
        <w:rPr>
          <w:rFonts w:hint="eastAsia" w:ascii="仿宋" w:hAnsi="仿宋" w:eastAsia="仿宋" w:cs="仿宋"/>
          <w:b/>
          <w:sz w:val="24"/>
          <w:szCs w:val="24"/>
          <w:highlight w:val="white"/>
          <w:u w:val="single"/>
        </w:rPr>
        <w:t xml:space="preserve">                   </w:t>
      </w:r>
      <w:r/>
    </w:p>
    <w:p>
      <w:pPr>
        <w:spacing w:line="360" w:lineRule="auto"/>
        <w:rPr>
          <w:rFonts w:hint="eastAsia" w:ascii="仿宋" w:hAnsi="仿宋" w:eastAsia="仿宋" w:cs="仿宋"/>
          <w:b/>
          <w:sz w:val="24"/>
          <w:szCs w:val="24"/>
          <w:highlight w:val="white"/>
          <w:u w:val="single"/>
        </w:rPr>
      </w:pPr>
      <w:r>
        <w:rPr>
          <w:rFonts w:hint="eastAsia" w:ascii="仿宋" w:hAnsi="仿宋" w:eastAsia="仿宋" w:cs="仿宋"/>
          <w:b/>
          <w:sz w:val="24"/>
          <w:szCs w:val="24"/>
          <w:highlight w:val="white"/>
        </w:rPr>
        <w:t xml:space="preserve">         日      期 ：</w:t>
      </w:r>
      <w:r>
        <w:rPr>
          <w:rFonts w:hint="eastAsia" w:ascii="仿宋" w:hAnsi="仿宋" w:eastAsia="仿宋" w:cs="仿宋"/>
          <w:b/>
          <w:sz w:val="24"/>
          <w:szCs w:val="24"/>
          <w:highlight w:val="white"/>
          <w:u w:val="single"/>
        </w:rPr>
        <w:t xml:space="preserve">                   </w:t>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sz w:val="24"/>
          <w:szCs w:val="24"/>
          <w:highlight w:val="white"/>
          <w:u w:val="single"/>
        </w:rPr>
        <w:br w:type="page" w:clear="all"/>
      </w:r>
      <w:r>
        <w:rPr>
          <w:rFonts w:hint="eastAsia" w:ascii="仿宋" w:hAnsi="仿宋" w:eastAsia="仿宋" w:cs="仿宋"/>
          <w:b/>
          <w:bCs/>
          <w:sz w:val="24"/>
          <w:szCs w:val="24"/>
          <w:highlight w:val="white"/>
        </w:rPr>
        <w:t xml:space="preserve">响应文件目录</w:t>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一、供应商信用承诺函</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二、满足特定资格要求的证明文件</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三、法人授权书</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四、磋商响应函</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五、磋商报价明细表</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六、实质性要求响应及偏离表</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七、中小企业声明函</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八、残疾人福利性单位声明函（如有）</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br w:type="page" w:clear="all"/>
      </w:r>
      <w:r>
        <w:rPr>
          <w:rFonts w:hint="eastAsia" w:ascii="仿宋" w:hAnsi="仿宋" w:eastAsia="仿宋" w:cs="仿宋"/>
          <w:sz w:val="24"/>
          <w:szCs w:val="24"/>
          <w:highlight w:val="white"/>
        </w:rPr>
        <w:t xml:space="preserve">一、供应商信用承诺函</w:t>
      </w:r>
      <w:r/>
    </w:p>
    <w:p>
      <w:pPr>
        <w:jc w:val="center"/>
        <w:spacing w:line="360" w:lineRule="auto"/>
        <w:rPr>
          <w:rFonts w:hint="eastAsia" w:ascii="仿宋" w:hAnsi="仿宋" w:eastAsia="仿宋" w:cs="仿宋"/>
          <w:sz w:val="24"/>
          <w:szCs w:val="24"/>
          <w:highlight w:val="white"/>
        </w:rPr>
        <w:outlineLvl w:val="0"/>
      </w:pPr>
      <w:r>
        <w:rPr>
          <w:rFonts w:hint="eastAsia" w:ascii="仿宋" w:hAnsi="仿宋" w:eastAsia="仿宋" w:cs="仿宋"/>
          <w:sz w:val="24"/>
          <w:szCs w:val="24"/>
          <w:highlight w:val="white"/>
        </w:rPr>
        <w:t xml:space="preserve">供应商信用承诺函</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南京文思捷建设项目管理有限公司：</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我公司</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（供应商名称）郑重承诺：</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我公司符合下列要求：</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(一)具有独立承担民事责任的能力；</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(二)具有良好的商业信誉和健全的财务会计制度；</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(三)具有履行合同所必需的设备和专业技术能力；</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(四)有依法缴纳税收和社会保障资金的良好记录；</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(五)参加政府采购活动前三年内，在经营活动中没有重大违法记录。</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如果我公司中标（成交），将在中标（成交）结果公示后七个工作日内向采购人提供下列材料核验：</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（1）营业执照副本或事业单位法人登记证书；</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（3）履行合同所必需的设备和专业技术能力证明材料；</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（4）参加本次政府采购活动前一年内至少一个月依法缴纳税收和社会保障资金的证明材料。</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本公司对上述承诺内容的真实性、合法性、有效性负责，如有虚假，将依法承担相应责任。</w:t>
      </w:r>
      <w:r/>
    </w:p>
    <w:p>
      <w:pPr>
        <w:ind w:firstLine="492"/>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04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供应商名称：</w:t>
      </w:r>
      <w:r/>
    </w:p>
    <w:p>
      <w:pPr>
        <w:ind w:firstLine="57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  期：</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年___月___日</w:t>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b/>
          <w:bCs/>
          <w:sz w:val="24"/>
          <w:szCs w:val="24"/>
          <w:highlight w:val="white"/>
        </w:rPr>
        <w:t xml:space="preserve">说明：资格审查材料或南京市政府采购供应商信用记录表附后。</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二、特定资格要求的证明文件</w:t>
      </w:r>
      <w:r/>
    </w:p>
    <w:p>
      <w:pPr>
        <w:spacing w:line="360" w:lineRule="auto"/>
        <w:rPr>
          <w:rFonts w:hint="eastAsia" w:ascii="仿宋" w:hAnsi="仿宋" w:eastAsia="仿宋" w:cs="仿宋"/>
          <w:bCs/>
          <w:sz w:val="24"/>
          <w:szCs w:val="24"/>
          <w:highlight w:val="white"/>
        </w:rPr>
      </w:pPr>
      <w:r>
        <w:rPr>
          <w:rFonts w:hint="eastAsia" w:ascii="仿宋" w:hAnsi="仿宋" w:eastAsia="仿宋" w:cs="仿宋"/>
          <w:sz w:val="24"/>
          <w:szCs w:val="24"/>
          <w:highlight w:val="white"/>
        </w:rPr>
        <w:t xml:space="preserve">   如果本项目申请人的特定资格要求中要求提供的，必须提供。</w:t>
      </w:r>
      <w:bookmarkEnd w:id="184"/>
      <w:r/>
      <w:bookmarkEnd w:id="185"/>
      <w:r/>
      <w:bookmarkEnd w:id="186"/>
      <w:r/>
      <w:r/>
    </w:p>
    <w:p>
      <w:pPr>
        <w:spacing w:line="360" w:lineRule="auto"/>
        <w:rPr>
          <w:rFonts w:hint="eastAsia" w:ascii="仿宋" w:hAnsi="仿宋" w:eastAsia="仿宋" w:cs="仿宋"/>
          <w:bCs/>
          <w:sz w:val="24"/>
          <w:szCs w:val="24"/>
          <w:highlight w:val="white"/>
        </w:rPr>
      </w:pPr>
      <w:r/>
      <w:bookmarkStart w:id="187" w:name="_Toc120614284"/>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三、法人授权书</w:t>
      </w:r>
      <w:r/>
    </w:p>
    <w:p>
      <w:pPr>
        <w:jc w:val="center"/>
        <w:spacing w:line="360" w:lineRule="auto"/>
        <w:rPr>
          <w:rFonts w:hint="eastAsia" w:ascii="仿宋" w:hAnsi="仿宋" w:eastAsia="仿宋" w:cs="仿宋"/>
          <w:sz w:val="24"/>
          <w:szCs w:val="24"/>
          <w:highlight w:val="white"/>
        </w:rPr>
        <w:outlineLvl w:val="0"/>
      </w:pPr>
      <w:r>
        <w:rPr>
          <w:rFonts w:hint="eastAsia" w:ascii="仿宋" w:hAnsi="仿宋" w:eastAsia="仿宋" w:cs="仿宋"/>
          <w:sz w:val="24"/>
          <w:szCs w:val="24"/>
          <w:highlight w:val="white"/>
          <w:lang w:val="zh-CN"/>
        </w:rPr>
        <w:t xml:space="preserve">法人授权书</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本授权书声明：____________（供应商名称）授权________________（被授权人的姓名）为我方就</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本授权书于______年____月____日起生效，特此声明。</w:t>
      </w:r>
      <w:r/>
    </w:p>
    <w:p>
      <w:pPr>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被授权人身份证号码：</w:t>
      </w:r>
      <w:r>
        <w:rPr>
          <w:rFonts w:hint="eastAsia" w:ascii="仿宋" w:hAnsi="仿宋" w:eastAsia="仿宋" w:cs="仿宋"/>
          <w:sz w:val="24"/>
          <w:szCs w:val="24"/>
          <w:highlight w:val="white"/>
          <w:u w:val="single"/>
        </w:rPr>
        <w:t xml:space="preserve">                           </w:t>
      </w:r>
      <w:r/>
    </w:p>
    <w:p>
      <w:pPr>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被授权人联系电话：（手机）</w:t>
      </w:r>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授权单位名称：</w:t>
      </w:r>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单位地址：</w:t>
      </w:r>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日期：</w:t>
      </w:r>
      <w:bookmarkStart w:id="188" w:name="_Hlt26671380"/>
      <w:r/>
      <w:bookmarkStart w:id="189" w:name="_格式3__银行出具的资信证明"/>
      <w:r/>
      <w:bookmarkStart w:id="190" w:name="_Hlt26955070"/>
      <w:r/>
      <w:bookmarkEnd w:id="188"/>
      <w:r/>
      <w:bookmarkEnd w:id="189"/>
      <w:r/>
      <w:bookmarkEnd w:id="190"/>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tabs>
                <w:tab w:val="left" w:pos="558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tabs>
                <w:tab w:val="left" w:pos="558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4536" w:type="dxa"/>
            <w:textDirection w:val="lrTb"/>
            <w:noWrap/>
          </w:tcPr>
          <w:p>
            <w:pPr>
              <w:spacing w:line="360" w:lineRule="auto"/>
              <w:tabs>
                <w:tab w:val="left" w:pos="558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tabs>
                <w:tab w:val="left" w:pos="558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tabs>
                <w:tab w:val="left" w:pos="558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bl>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四、磋商响应函</w:t>
      </w:r>
      <w:r/>
    </w:p>
    <w:p>
      <w:pPr>
        <w:jc w:val="center"/>
        <w:spacing w:line="360" w:lineRule="auto"/>
        <w:rPr>
          <w:rFonts w:hint="eastAsia" w:ascii="仿宋" w:hAnsi="仿宋" w:eastAsia="仿宋" w:cs="仿宋"/>
          <w:sz w:val="24"/>
          <w:szCs w:val="24"/>
          <w:highlight w:val="white"/>
        </w:rPr>
        <w:outlineLvl w:val="0"/>
      </w:pPr>
      <w:r>
        <w:rPr>
          <w:rFonts w:hint="eastAsia" w:ascii="仿宋" w:hAnsi="仿宋" w:eastAsia="仿宋" w:cs="仿宋"/>
          <w:sz w:val="24"/>
          <w:szCs w:val="24"/>
          <w:highlight w:val="white"/>
        </w:rPr>
        <w:t xml:space="preserve">磋商响应函</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致：南京文思捷建设项目管理有限公司</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根据贵方的</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号磋商文件，正式授权下述签字人______(姓名)代表我方______________（供应商的名称），全权处理本次项目磋商的有关事宜。</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据此函，__________签字人兹宣布同意如下：</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1.按磋商文件规定的各项要求，向买方提供所需货物、服务（包含与货物相关的服务及与服务相关的货物）。</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2.我们完全理解贵方不一定将合同授予最低报价的供应商。</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3.我们已详细审核全部磋商文件及其有效补充文件，我们知道必须放弃提出含糊不清或误解问题的权利。</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4.我们同意从规定的开标日期起遵循本响应文件，并在规定的磋商有效期期满之前均具有约束力。</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7.我方为：</w:t>
      </w:r>
      <w:r>
        <w:rPr>
          <w:rFonts w:hint="eastAsia" w:ascii="仿宋" w:hAnsi="仿宋" w:eastAsia="仿宋" w:cs="仿宋"/>
          <w:sz w:val="24"/>
          <w:szCs w:val="24"/>
          <w:highlight w:val="white"/>
          <w:lang w:val="zh-CN"/>
        </w:rPr>
        <w:t xml:space="preserve">£</w:t>
      </w:r>
      <w:r>
        <w:rPr>
          <w:rFonts w:hint="eastAsia" w:ascii="仿宋" w:hAnsi="仿宋" w:eastAsia="仿宋" w:cs="仿宋"/>
          <w:sz w:val="24"/>
          <w:szCs w:val="24"/>
          <w:highlight w:val="white"/>
        </w:rPr>
        <w:t xml:space="preserve">大型企业 </w:t>
      </w:r>
      <w:r>
        <w:rPr>
          <w:rFonts w:hint="eastAsia" w:ascii="仿宋" w:hAnsi="仿宋" w:eastAsia="仿宋" w:cs="仿宋"/>
          <w:sz w:val="24"/>
          <w:szCs w:val="24"/>
          <w:highlight w:val="white"/>
          <w:lang w:val="zh-CN"/>
        </w:rPr>
        <w:t xml:space="preserve">£</w:t>
      </w:r>
      <w:r>
        <w:rPr>
          <w:rFonts w:hint="eastAsia" w:ascii="仿宋" w:hAnsi="仿宋" w:eastAsia="仿宋" w:cs="仿宋"/>
          <w:sz w:val="24"/>
          <w:szCs w:val="24"/>
          <w:highlight w:val="white"/>
        </w:rPr>
        <w:t xml:space="preserve">中型企业 </w:t>
      </w:r>
      <w:r>
        <w:rPr>
          <w:rFonts w:hint="eastAsia" w:ascii="仿宋" w:hAnsi="仿宋" w:eastAsia="仿宋" w:cs="仿宋"/>
          <w:sz w:val="24"/>
          <w:szCs w:val="24"/>
          <w:highlight w:val="white"/>
          <w:lang w:val="zh-CN"/>
        </w:rPr>
        <w:t xml:space="preserve">£</w:t>
      </w:r>
      <w:r>
        <w:rPr>
          <w:rFonts w:hint="eastAsia" w:ascii="仿宋" w:hAnsi="仿宋" w:eastAsia="仿宋" w:cs="仿宋"/>
          <w:sz w:val="24"/>
          <w:szCs w:val="24"/>
          <w:highlight w:val="white"/>
        </w:rPr>
        <w:t xml:space="preserve">小型企业 </w:t>
      </w:r>
      <w:r>
        <w:rPr>
          <w:rFonts w:hint="eastAsia" w:ascii="仿宋" w:hAnsi="仿宋" w:eastAsia="仿宋" w:cs="仿宋"/>
          <w:sz w:val="24"/>
          <w:szCs w:val="24"/>
          <w:highlight w:val="white"/>
          <w:lang w:val="zh-CN"/>
        </w:rPr>
        <w:t xml:space="preserve">£</w:t>
      </w:r>
      <w:r>
        <w:rPr>
          <w:rFonts w:hint="eastAsia" w:ascii="仿宋" w:hAnsi="仿宋" w:eastAsia="仿宋" w:cs="仿宋"/>
          <w:sz w:val="24"/>
          <w:szCs w:val="24"/>
          <w:highlight w:val="white"/>
        </w:rPr>
        <w:t xml:space="preserve">微型企业（对应</w:t>
      </w:r>
      <w:r>
        <w:rPr>
          <w:rFonts w:hint="eastAsia" w:ascii="仿宋" w:hAnsi="仿宋" w:eastAsia="仿宋" w:cs="仿宋"/>
          <w:sz w:val="24"/>
          <w:szCs w:val="24"/>
          <w:highlight w:val="white"/>
          <w:lang w:val="zh-CN"/>
        </w:rPr>
        <w:t xml:space="preserve">£上打“√”</w:t>
      </w:r>
      <w:r>
        <w:rPr>
          <w:rFonts w:hint="eastAsia" w:ascii="仿宋" w:hAnsi="仿宋" w:eastAsia="仿宋" w:cs="仿宋"/>
          <w:sz w:val="24"/>
          <w:szCs w:val="24"/>
          <w:highlight w:val="white"/>
        </w:rPr>
        <w:t xml:space="preserve">）</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8.我方与本磋商有关的正式通讯地址为：</w:t>
      </w:r>
      <w:r/>
    </w:p>
    <w:p>
      <w:pPr>
        <w:pStyle w:val="1013"/>
        <w:ind w:left="420"/>
        <w:spacing w:before="0" w:after="0"/>
        <w:rPr>
          <w:rFonts w:hint="eastAsia" w:ascii="仿宋" w:hAnsi="仿宋" w:eastAsia="仿宋" w:cs="仿宋"/>
          <w:highlight w:val="white"/>
        </w:rPr>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highlight w:val="white"/>
        </w:rPr>
      </w:r>
      <w:r/>
    </w:p>
    <w:p>
      <w:pPr>
        <w:pStyle w:val="1013"/>
        <w:ind w:left="420"/>
        <w:spacing w:before="0" w:after="0"/>
        <w:rPr>
          <w:rFonts w:hint="eastAsia" w:ascii="仿宋" w:hAnsi="仿宋" w:eastAsia="仿宋" w:cs="仿宋"/>
          <w:highlight w:val="white"/>
          <w:u w:val="single"/>
        </w:rPr>
      </w:pPr>
      <w:r>
        <w:rPr>
          <w:rFonts w:hint="eastAsia" w:ascii="仿宋" w:hAnsi="仿宋" w:eastAsia="仿宋" w:cs="仿宋"/>
          <w:highlight w:val="white"/>
        </w:rPr>
        <w:t xml:space="preserve">地        址：</w:t>
      </w:r>
      <w:r>
        <w:rPr>
          <w:rFonts w:hint="eastAsia" w:ascii="仿宋" w:hAnsi="仿宋" w:eastAsia="仿宋" w:cs="仿宋"/>
          <w:highlight w:val="white"/>
          <w:u w:val="single"/>
        </w:rPr>
        <w:t xml:space="preserve">                        </w:t>
      </w:r>
      <w:r/>
    </w:p>
    <w:p>
      <w:pPr>
        <w:pStyle w:val="1013"/>
        <w:ind w:left="420"/>
        <w:spacing w:before="0" w:after="0"/>
        <w:rPr>
          <w:rFonts w:hint="eastAsia" w:ascii="仿宋" w:hAnsi="仿宋" w:eastAsia="仿宋" w:cs="仿宋"/>
          <w:highlight w:val="white"/>
        </w:rPr>
      </w:pPr>
      <w:r>
        <w:rPr>
          <w:rFonts w:hint="eastAsia" w:ascii="仿宋" w:hAnsi="仿宋" w:eastAsia="仿宋" w:cs="仿宋"/>
          <w:highlight w:val="white"/>
        </w:rPr>
        <w:t xml:space="preserve">邮        编：</w:t>
      </w:r>
      <w:r>
        <w:rPr>
          <w:rFonts w:hint="eastAsia" w:ascii="仿宋" w:hAnsi="仿宋" w:eastAsia="仿宋" w:cs="仿宋"/>
          <w:highlight w:val="white"/>
          <w:u w:val="single"/>
        </w:rPr>
        <w:t xml:space="preserve">                        </w:t>
      </w:r>
      <w:r/>
    </w:p>
    <w:p>
      <w:pPr>
        <w:pStyle w:val="1013"/>
        <w:ind w:left="420"/>
        <w:spacing w:before="0" w:after="0"/>
        <w:rPr>
          <w:rFonts w:hint="eastAsia" w:ascii="仿宋" w:hAnsi="仿宋" w:eastAsia="仿宋" w:cs="仿宋"/>
          <w:highlight w:val="white"/>
        </w:rPr>
      </w:pPr>
      <w:r>
        <w:rPr>
          <w:rFonts w:hint="eastAsia" w:ascii="仿宋" w:hAnsi="仿宋" w:eastAsia="仿宋" w:cs="仿宋"/>
          <w:highlight w:val="white"/>
        </w:rPr>
        <w:t xml:space="preserve">电        话：</w:t>
      </w:r>
      <w:r>
        <w:rPr>
          <w:rFonts w:hint="eastAsia" w:ascii="仿宋" w:hAnsi="仿宋" w:eastAsia="仿宋" w:cs="仿宋"/>
          <w:highlight w:val="white"/>
          <w:u w:val="single"/>
        </w:rPr>
        <w:t xml:space="preserve">                        </w:t>
      </w:r>
      <w:r/>
    </w:p>
    <w:p>
      <w:pPr>
        <w:pStyle w:val="1013"/>
        <w:ind w:left="420"/>
        <w:spacing w:before="0" w:after="0"/>
        <w:rPr>
          <w:rFonts w:hint="eastAsia" w:ascii="仿宋" w:hAnsi="仿宋" w:eastAsia="仿宋" w:cs="仿宋"/>
          <w:highlight w:val="white"/>
        </w:rPr>
      </w:pPr>
      <w:r>
        <w:rPr>
          <w:rFonts w:hint="eastAsia" w:ascii="仿宋" w:hAnsi="仿宋" w:eastAsia="仿宋" w:cs="仿宋"/>
          <w:highlight w:val="white"/>
        </w:rPr>
        <w:t xml:space="preserve">传        真：</w:t>
      </w:r>
      <w:r>
        <w:rPr>
          <w:rFonts w:hint="eastAsia" w:ascii="仿宋" w:hAnsi="仿宋" w:eastAsia="仿宋" w:cs="仿宋"/>
          <w:highlight w:val="white"/>
          <w:u w:val="single"/>
        </w:rPr>
        <w:t xml:space="preserve">                        </w:t>
      </w:r>
      <w:r/>
    </w:p>
    <w:p>
      <w:pPr>
        <w:pStyle w:val="1013"/>
        <w:ind w:left="420"/>
        <w:spacing w:before="0" w:after="0"/>
        <w:rPr>
          <w:rFonts w:hint="eastAsia" w:ascii="仿宋" w:hAnsi="仿宋" w:eastAsia="仿宋" w:cs="仿宋"/>
          <w:highlight w:val="white"/>
        </w:rPr>
      </w:pPr>
      <w:r>
        <w:rPr>
          <w:rFonts w:hint="eastAsia" w:ascii="仿宋" w:hAnsi="仿宋" w:eastAsia="仿宋" w:cs="仿宋"/>
          <w:highlight w:val="white"/>
        </w:rPr>
        <w:t xml:space="preserve">供应商开户行：</w:t>
      </w:r>
      <w:r>
        <w:rPr>
          <w:rFonts w:hint="eastAsia" w:ascii="仿宋" w:hAnsi="仿宋" w:eastAsia="仿宋" w:cs="仿宋"/>
          <w:highlight w:val="white"/>
          <w:u w:val="single"/>
        </w:rPr>
        <w:t xml:space="preserve">                        </w:t>
      </w:r>
      <w:r/>
    </w:p>
    <w:p>
      <w:pPr>
        <w:pStyle w:val="1013"/>
        <w:ind w:left="420"/>
        <w:spacing w:before="0" w:after="0"/>
        <w:rPr>
          <w:rFonts w:hint="eastAsia" w:ascii="仿宋" w:hAnsi="仿宋" w:eastAsia="仿宋" w:cs="仿宋"/>
          <w:highlight w:val="white"/>
        </w:rPr>
      </w:pPr>
      <w:r>
        <w:rPr>
          <w:rFonts w:hint="eastAsia" w:ascii="仿宋" w:hAnsi="仿宋" w:eastAsia="仿宋" w:cs="仿宋"/>
          <w:highlight w:val="white"/>
        </w:rPr>
        <w:t xml:space="preserve">账        号：</w:t>
      </w:r>
      <w:r>
        <w:rPr>
          <w:rFonts w:hint="eastAsia" w:ascii="仿宋" w:hAnsi="仿宋" w:eastAsia="仿宋" w:cs="仿宋"/>
          <w:highlight w:val="white"/>
          <w:u w:val="single"/>
        </w:rPr>
        <w:t xml:space="preserve">                        </w:t>
      </w:r>
      <w:r>
        <w:rPr>
          <w:rFonts w:hint="eastAsia" w:ascii="仿宋" w:hAnsi="仿宋" w:eastAsia="仿宋" w:cs="仿宋"/>
          <w:highlight w:val="white"/>
        </w:rPr>
        <w:t xml:space="preserve"> </w:t>
      </w:r>
      <w:r/>
    </w:p>
    <w:p>
      <w:pPr>
        <w:pStyle w:val="1013"/>
        <w:ind w:firstLine="918"/>
        <w:spacing w:before="0" w:after="0"/>
        <w:rPr>
          <w:rFonts w:hint="eastAsia" w:ascii="仿宋" w:hAnsi="仿宋" w:eastAsia="仿宋" w:cs="仿宋"/>
          <w:highlight w:val="white"/>
        </w:rPr>
      </w:pPr>
      <w:r>
        <w:rPr>
          <w:rFonts w:hint="eastAsia" w:ascii="仿宋" w:hAnsi="仿宋" w:eastAsia="仿宋" w:cs="仿宋"/>
          <w:highlight w:val="white"/>
        </w:rPr>
        <w:t xml:space="preserve">日        期：</w:t>
      </w:r>
      <w:r>
        <w:rPr>
          <w:rFonts w:hint="eastAsia" w:ascii="仿宋" w:hAnsi="仿宋" w:eastAsia="仿宋" w:cs="仿宋"/>
          <w:highlight w:val="white"/>
          <w:u w:val="single"/>
        </w:rPr>
        <w:t xml:space="preserve">  </w:t>
      </w:r>
      <w:r>
        <w:rPr>
          <w:rFonts w:hint="eastAsia" w:ascii="仿宋" w:hAnsi="仿宋" w:eastAsia="仿宋" w:cs="仿宋"/>
          <w:highlight w:val="white"/>
        </w:rPr>
        <w:t xml:space="preserve">年</w:t>
      </w:r>
      <w:r>
        <w:rPr>
          <w:rFonts w:hint="eastAsia" w:ascii="仿宋" w:hAnsi="仿宋" w:eastAsia="仿宋" w:cs="仿宋"/>
          <w:highlight w:val="white"/>
          <w:u w:val="single"/>
        </w:rPr>
        <w:t xml:space="preserve">  </w:t>
      </w:r>
      <w:r>
        <w:rPr>
          <w:rFonts w:hint="eastAsia" w:ascii="仿宋" w:hAnsi="仿宋" w:eastAsia="仿宋" w:cs="仿宋"/>
          <w:highlight w:val="white"/>
        </w:rPr>
        <w:t xml:space="preserve">月</w:t>
      </w:r>
      <w:r>
        <w:rPr>
          <w:rFonts w:hint="eastAsia" w:ascii="仿宋" w:hAnsi="仿宋" w:eastAsia="仿宋" w:cs="仿宋"/>
          <w:highlight w:val="white"/>
          <w:u w:val="single"/>
        </w:rPr>
        <w:t xml:space="preserve">  </w:t>
      </w:r>
      <w:r>
        <w:rPr>
          <w:rFonts w:hint="eastAsia" w:ascii="仿宋" w:hAnsi="仿宋" w:eastAsia="仿宋" w:cs="仿宋"/>
          <w:highlight w:val="white"/>
        </w:rPr>
        <w:t xml:space="preserve">日</w:t>
      </w:r>
      <w:r/>
    </w:p>
    <w:p>
      <w:pPr>
        <w:ind w:firstLine="240"/>
        <w:jc w:val="center"/>
        <w:spacing w:line="360" w:lineRule="auto"/>
        <w:rPr>
          <w:rFonts w:hint="eastAsia" w:ascii="仿宋" w:hAnsi="仿宋" w:eastAsia="仿宋" w:cs="仿宋"/>
          <w:bCs/>
          <w:sz w:val="24"/>
          <w:szCs w:val="24"/>
          <w:highlight w:val="white"/>
        </w:rPr>
        <w:sectPr>
          <w:footnotePr/>
          <w:endnotePr/>
          <w:type w:val="continuous"/>
          <w:pgSz w:w="11906" w:h="16838" w:orient="portrait"/>
          <w:pgMar w:top="1440" w:right="1080" w:bottom="1440" w:left="1080" w:header="851" w:footer="907" w:gutter="0"/>
          <w:pgNumType w:start="1"/>
          <w:cols w:num="2" w:sep="0" w:space="720" w:equalWidth="0">
            <w:col w:w="4660" w:space="425"/>
            <w:col w:w="4660" w:space="0"/>
          </w:cols>
          <w:docGrid w:linePitch="360"/>
          <w:titlePg/>
        </w:sectPr>
      </w:pPr>
      <w:r>
        <w:rPr>
          <w:rFonts w:hint="eastAsia" w:ascii="仿宋" w:hAnsi="仿宋" w:eastAsia="仿宋" w:cs="仿宋"/>
          <w:bCs/>
          <w:sz w:val="24"/>
          <w:szCs w:val="24"/>
          <w:highlight w:val="white"/>
        </w:rPr>
      </w:r>
      <w:r/>
    </w:p>
    <w:p>
      <w:pPr>
        <w:ind w:firstLine="240"/>
        <w:jc w:val="center"/>
        <w:spacing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五、报价一览表（实质性格式）</w:t>
      </w:r>
      <w:r/>
    </w:p>
    <w:p>
      <w:pPr>
        <w:pStyle w:val="758"/>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cente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white"/>
        </w:rPr>
        <w:t xml:space="preserve">报价一览表</w:t>
      </w:r>
      <w:r/>
    </w:p>
    <w:p>
      <w:pPr>
        <w:ind w:firstLine="480"/>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r>
      <w:r/>
    </w:p>
    <w:p>
      <w:pPr>
        <w:pStyle w:val="1051"/>
        <w:ind w:firstLine="480"/>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供应商全称：</w:t>
      </w:r>
      <w:r>
        <w:rPr>
          <w:rFonts w:hint="eastAsia" w:ascii="仿宋" w:hAnsi="仿宋" w:eastAsia="仿宋" w:cs="仿宋"/>
          <w:sz w:val="24"/>
          <w:szCs w:val="24"/>
          <w:highlight w:val="white"/>
          <w:u w:val="single"/>
        </w:rPr>
        <w:t xml:space="preserve">                         </w:t>
      </w:r>
      <w:r/>
    </w:p>
    <w:p>
      <w:pPr>
        <w:pStyle w:val="1051"/>
        <w:ind w:firstLine="480"/>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项目编号：</w:t>
      </w:r>
      <w:r>
        <w:rPr>
          <w:rFonts w:hint="eastAsia" w:ascii="仿宋" w:hAnsi="仿宋" w:eastAsia="仿宋" w:cs="仿宋"/>
          <w:sz w:val="24"/>
          <w:szCs w:val="24"/>
          <w:highlight w:val="white"/>
          <w:u w:val="single"/>
        </w:rPr>
        <w:t xml:space="preserve">                         </w:t>
      </w:r>
      <w:r/>
    </w:p>
    <w:tbl>
      <w:tblPr>
        <w:tblStyle w:val="752"/>
        <w:tblW w:w="8773"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5015"/>
        <w:gridCol w:w="1898"/>
        <w:gridCol w:w="1860"/>
      </w:tblGrid>
      <w:tr>
        <w:trPr>
          <w:jc w:val="center"/>
          <w:trHeight w:val="606"/>
        </w:trPr>
        <w:tc>
          <w:tcPr>
            <w:tcMar>
              <w:left w:w="15" w:type="dxa"/>
              <w:top w:w="15" w:type="dxa"/>
              <w:right w:w="15" w:type="dxa"/>
              <w:bottom w:w="15" w:type="dxa"/>
            </w:tcMar>
            <w:tcW w:w="5015" w:type="dxa"/>
            <w:vAlign w:val="center"/>
            <w:textDirection w:val="lrTb"/>
            <w:noWrap/>
          </w:tcPr>
          <w:p>
            <w:pPr>
              <w:pStyle w:val="1051"/>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项目名称</w:t>
            </w:r>
            <w:r/>
          </w:p>
        </w:tc>
        <w:tc>
          <w:tcPr>
            <w:tcMar>
              <w:left w:w="15" w:type="dxa"/>
              <w:top w:w="15" w:type="dxa"/>
              <w:right w:w="15" w:type="dxa"/>
              <w:bottom w:w="15" w:type="dxa"/>
            </w:tcMar>
            <w:tcW w:w="1898" w:type="dxa"/>
            <w:vAlign w:val="center"/>
            <w:textDirection w:val="lrTb"/>
            <w:noWrap/>
          </w:tcPr>
          <w:p>
            <w:pPr>
              <w:pStyle w:val="1051"/>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报价</w:t>
            </w:r>
            <w:r/>
          </w:p>
        </w:tc>
        <w:tc>
          <w:tcPr>
            <w:tcMar>
              <w:left w:w="15" w:type="dxa"/>
              <w:top w:w="15" w:type="dxa"/>
              <w:right w:w="15" w:type="dxa"/>
              <w:bottom w:w="15" w:type="dxa"/>
            </w:tcMar>
            <w:tcW w:w="1860" w:type="dxa"/>
            <w:vAlign w:val="center"/>
            <w:textDirection w:val="lrTb"/>
            <w:noWrap/>
          </w:tcPr>
          <w:p>
            <w:pPr>
              <w:pStyle w:val="1051"/>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备注</w:t>
            </w:r>
            <w:r/>
          </w:p>
        </w:tc>
      </w:tr>
      <w:tr>
        <w:trPr>
          <w:jc w:val="center"/>
          <w:trHeight w:val="1710"/>
        </w:trPr>
        <w:tc>
          <w:tcPr>
            <w:tcMar>
              <w:left w:w="15" w:type="dxa"/>
              <w:top w:w="15" w:type="dxa"/>
              <w:right w:w="15" w:type="dxa"/>
              <w:bottom w:w="15" w:type="dxa"/>
            </w:tcMar>
            <w:tcW w:w="5015" w:type="dxa"/>
            <w:vAlign w:val="center"/>
            <w:textDirection w:val="lrTb"/>
            <w:noWrap/>
          </w:tcPr>
          <w:p>
            <w:pPr>
              <w:pStyle w:val="1051"/>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rPr>
              <w:t xml:space="preserve">2025-2026年浦口区白蚁防治服务项目</w:t>
            </w:r>
            <w:r/>
          </w:p>
        </w:tc>
        <w:tc>
          <w:tcPr>
            <w:tcMar>
              <w:left w:w="15" w:type="dxa"/>
              <w:top w:w="15" w:type="dxa"/>
              <w:right w:w="15" w:type="dxa"/>
              <w:bottom w:w="15" w:type="dxa"/>
            </w:tcMar>
            <w:tcW w:w="1898" w:type="dxa"/>
            <w:vAlign w:val="center"/>
            <w:textDirection w:val="lrTb"/>
            <w:noWrap/>
          </w:tcPr>
          <w:p>
            <w:pPr>
              <w:pStyle w:val="1051"/>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元</w:t>
            </w:r>
            <w:r/>
          </w:p>
        </w:tc>
        <w:tc>
          <w:tcPr>
            <w:tcMar>
              <w:left w:w="15" w:type="dxa"/>
              <w:top w:w="15" w:type="dxa"/>
              <w:right w:w="15" w:type="dxa"/>
              <w:bottom w:w="15" w:type="dxa"/>
            </w:tcMar>
            <w:tcW w:w="1860" w:type="dxa"/>
            <w:vAlign w:val="center"/>
            <w:textDirection w:val="lrTb"/>
            <w:noWrap/>
          </w:tcPr>
          <w:p>
            <w:pPr>
              <w:pStyle w:val="1051"/>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bl>
    <w:p>
      <w:pPr>
        <w:pStyle w:val="1051"/>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051"/>
        <w:ind w:firstLine="480"/>
        <w:spacing w:line="360" w:lineRule="auto"/>
        <w:rPr>
          <w:rFonts w:hint="eastAsia" w:ascii="仿宋" w:hAnsi="仿宋" w:eastAsia="仿宋" w:cs="仿宋"/>
          <w:sz w:val="24"/>
          <w:szCs w:val="24"/>
        </w:rPr>
      </w:pPr>
      <w:r>
        <w:rPr>
          <w:rFonts w:hint="eastAsia" w:ascii="仿宋" w:hAnsi="仿宋" w:eastAsia="仿宋" w:cs="仿宋"/>
          <w:sz w:val="24"/>
          <w:szCs w:val="24"/>
          <w:highlight w:val="white"/>
        </w:rPr>
        <w:t xml:space="preserve">                                            </w:t>
      </w:r>
      <w:r/>
    </w:p>
    <w:p>
      <w:pPr>
        <w:pStyle w:val="105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供应商法定代表人或授权代表姓名（签字）：</w:t>
      </w:r>
      <w:r/>
    </w:p>
    <w:p>
      <w:pPr>
        <w:pStyle w:val="105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供应商名称：（盖章）</w:t>
      </w:r>
      <w:r/>
    </w:p>
    <w:p>
      <w:pPr>
        <w:pStyle w:val="1051"/>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日期：  年  月  日</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br w:type="page" w:clear="all"/>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六、分项报价表（格式自理）</w:t>
      </w:r>
      <w:r/>
    </w:p>
    <w:p>
      <w:pPr>
        <w:jc w:val="center"/>
        <w:spacing w:line="360" w:lineRule="auto"/>
        <w:widowControl/>
        <w:rPr>
          <w:rFonts w:hint="eastAsia" w:ascii="仿宋" w:hAnsi="仿宋" w:eastAsia="仿宋" w:cs="仿宋"/>
          <w:sz w:val="24"/>
          <w:szCs w:val="24"/>
          <w:highlight w:val="white"/>
        </w:rPr>
      </w:pPr>
      <w:r>
        <w:rPr>
          <w:rFonts w:hint="eastAsia" w:ascii="仿宋" w:hAnsi="仿宋" w:eastAsia="仿宋" w:cs="仿宋"/>
          <w:b/>
          <w:sz w:val="24"/>
          <w:szCs w:val="24"/>
          <w:highlight w:val="white"/>
        </w:rPr>
        <w:t xml:space="preserve">分项报价明细表</w:t>
      </w:r>
      <w:r/>
    </w:p>
    <w:tbl>
      <w:tblPr>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1"/>
        <w:gridCol w:w="1261"/>
        <w:gridCol w:w="1275"/>
        <w:gridCol w:w="1200"/>
        <w:gridCol w:w="1043"/>
        <w:gridCol w:w="859"/>
        <w:gridCol w:w="962"/>
        <w:gridCol w:w="980"/>
        <w:gridCol w:w="1125"/>
      </w:tblGrid>
      <w:tr>
        <w:trPr>
          <w:jc w:val="center"/>
          <w:trHeight w:val="915" w:hRule="exact"/>
        </w:trPr>
        <w:tc>
          <w:tcPr>
            <w:tcW w:w="571"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b/>
                <w:bCs/>
                <w:sz w:val="24"/>
                <w:szCs w:val="24"/>
                <w:highlight w:val="white"/>
                <w:lang w:bidi="ar"/>
              </w:rPr>
              <w:t xml:space="preserve">序号</w:t>
            </w:r>
            <w:r/>
          </w:p>
        </w:tc>
        <w:tc>
          <w:tcPr>
            <w:tcW w:w="1261"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b/>
                <w:bCs/>
                <w:sz w:val="24"/>
                <w:szCs w:val="24"/>
                <w:highlight w:val="white"/>
                <w:lang w:bidi="ar"/>
              </w:rPr>
              <w:t xml:space="preserve">名称</w:t>
            </w:r>
            <w:r/>
          </w:p>
        </w:tc>
        <w:tc>
          <w:tcPr>
            <w:tcW w:w="1275"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b/>
                <w:bCs/>
                <w:sz w:val="24"/>
                <w:szCs w:val="24"/>
                <w:highlight w:val="white"/>
                <w:lang w:bidi="ar"/>
              </w:rPr>
              <w:t xml:space="preserve">技术要求</w:t>
            </w:r>
            <w:r/>
          </w:p>
        </w:tc>
        <w:tc>
          <w:tcPr>
            <w:tcW w:w="1200"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b/>
                <w:bCs/>
                <w:sz w:val="24"/>
                <w:szCs w:val="24"/>
                <w:highlight w:val="white"/>
                <w:lang w:bidi="ar"/>
              </w:rPr>
              <w:t xml:space="preserve">所投品牌及型号</w:t>
            </w:r>
            <w:r/>
          </w:p>
        </w:tc>
        <w:tc>
          <w:tcPr>
            <w:tcW w:w="1043"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b/>
                <w:bCs/>
                <w:sz w:val="24"/>
                <w:szCs w:val="24"/>
                <w:highlight w:val="white"/>
                <w:lang w:bidi="ar"/>
              </w:rPr>
              <w:t xml:space="preserve">单位</w:t>
            </w:r>
            <w:r/>
          </w:p>
        </w:tc>
        <w:tc>
          <w:tcPr>
            <w:tcW w:w="859"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b/>
                <w:bCs/>
                <w:sz w:val="24"/>
                <w:szCs w:val="24"/>
                <w:highlight w:val="white"/>
                <w:lang w:bidi="ar"/>
              </w:rPr>
              <w:t xml:space="preserve">数量</w:t>
            </w:r>
            <w:r/>
          </w:p>
        </w:tc>
        <w:tc>
          <w:tcPr>
            <w:tcW w:w="962"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b/>
                <w:bCs/>
                <w:sz w:val="24"/>
                <w:szCs w:val="24"/>
                <w:highlight w:val="white"/>
                <w:lang w:bidi="ar"/>
              </w:rPr>
              <w:t xml:space="preserve">单价（元）</w:t>
            </w:r>
            <w:r/>
          </w:p>
        </w:tc>
        <w:tc>
          <w:tcPr>
            <w:tcW w:w="980"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b/>
                <w:bCs/>
                <w:sz w:val="24"/>
                <w:szCs w:val="24"/>
                <w:highlight w:val="white"/>
                <w:lang w:bidi="ar"/>
              </w:rPr>
              <w:t xml:space="preserve">合价（元）</w:t>
            </w:r>
            <w:r/>
          </w:p>
        </w:tc>
        <w:tc>
          <w:tcPr>
            <w:tcW w:w="1125"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b/>
                <w:bCs/>
                <w:sz w:val="24"/>
                <w:szCs w:val="24"/>
                <w:highlight w:val="white"/>
                <w:lang w:bidi="ar"/>
              </w:rPr>
              <w:t xml:space="preserve">是否小、微企业产品（货物或服务）</w:t>
            </w:r>
            <w:r/>
          </w:p>
        </w:tc>
      </w:tr>
      <w:tr>
        <w:trPr>
          <w:jc w:val="center"/>
          <w:trHeight w:val="731"/>
        </w:trPr>
        <w:tc>
          <w:tcPr>
            <w:tcW w:w="571"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w:t>
            </w:r>
            <w:r/>
          </w:p>
        </w:tc>
        <w:tc>
          <w:tcPr>
            <w:tcW w:w="1261"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75"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00"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43"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859"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62"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80" w:type="dxa"/>
            <w:vAlign w:val="center"/>
            <w:textDirection w:val="lrTb"/>
            <w:noWrap w:val="false"/>
          </w:tcPr>
          <w:p>
            <w:pPr>
              <w:jc w:val="center"/>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125"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w:t>
            </w:r>
            <w:r/>
          </w:p>
        </w:tc>
        <w:tc>
          <w:tcPr>
            <w:tcW w:w="1261"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75"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00"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43"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859"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62"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80" w:type="dxa"/>
            <w:vAlign w:val="center"/>
            <w:textDirection w:val="lrTb"/>
            <w:noWrap w:val="false"/>
          </w:tcPr>
          <w:p>
            <w:pPr>
              <w:jc w:val="center"/>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125"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w:t>
            </w:r>
            <w:r/>
          </w:p>
        </w:tc>
        <w:tc>
          <w:tcPr>
            <w:tcW w:w="1261"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75"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00"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43"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859"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62"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80" w:type="dxa"/>
            <w:vAlign w:val="center"/>
            <w:textDirection w:val="lrTb"/>
            <w:noWrap w:val="false"/>
          </w:tcPr>
          <w:p>
            <w:pPr>
              <w:jc w:val="center"/>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125"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w:t>
            </w:r>
            <w:r/>
          </w:p>
        </w:tc>
        <w:tc>
          <w:tcPr>
            <w:tcW w:w="1261"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75"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00"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43"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859"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62"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80" w:type="dxa"/>
            <w:vAlign w:val="center"/>
            <w:textDirection w:val="lrTb"/>
            <w:noWrap w:val="false"/>
          </w:tcPr>
          <w:p>
            <w:pPr>
              <w:jc w:val="center"/>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125"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w:t>
            </w:r>
            <w:r/>
          </w:p>
        </w:tc>
        <w:tc>
          <w:tcPr>
            <w:tcW w:w="1261"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75"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00"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43"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859"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62"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80" w:type="dxa"/>
            <w:vAlign w:val="center"/>
            <w:textDirection w:val="lrTb"/>
            <w:noWrap w:val="false"/>
          </w:tcPr>
          <w:p>
            <w:pPr>
              <w:jc w:val="center"/>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125"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765"/>
        </w:trPr>
        <w:tc>
          <w:tcPr>
            <w:tcW w:w="571"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61"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w:t>
            </w:r>
            <w:r/>
          </w:p>
        </w:tc>
        <w:tc>
          <w:tcPr>
            <w:tcW w:w="1275" w:type="dxa"/>
            <w:vAlign w:val="center"/>
            <w:textDirection w:val="lrTb"/>
            <w:noWrap w:val="false"/>
          </w:tcPr>
          <w:p>
            <w:pP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200" w:type="dxa"/>
            <w:vAlign w:val="center"/>
            <w:textDirection w:val="lrTb"/>
            <w:noWrap w:val="false"/>
          </w:tcPr>
          <w:p>
            <w:pP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43" w:type="dxa"/>
            <w:vAlign w:val="center"/>
            <w:textDirection w:val="lrTb"/>
            <w:noWrap w:val="false"/>
          </w:tcPr>
          <w:p>
            <w:pP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859" w:type="dxa"/>
            <w:vAlign w:val="center"/>
            <w:textDirection w:val="lrTb"/>
            <w:noWrap w:val="false"/>
          </w:tcPr>
          <w:p>
            <w:pPr>
              <w:jc w:val="center"/>
              <w:spacing w:line="2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62" w:type="dxa"/>
            <w:vAlign w:val="center"/>
            <w:textDirection w:val="lrTb"/>
            <w:noWrap w:val="false"/>
          </w:tcPr>
          <w:p>
            <w:pP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980" w:type="dxa"/>
            <w:vAlign w:val="center"/>
            <w:textDirection w:val="lrTb"/>
            <w:noWrap w:val="false"/>
          </w:tcPr>
          <w:p>
            <w:pPr>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125" w:type="dxa"/>
            <w:vAlign w:val="center"/>
            <w:textDirection w:val="lrTb"/>
            <w:noWrap w:val="false"/>
          </w:tcPr>
          <w:p>
            <w:pPr>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jc w:val="center"/>
          <w:trHeight w:val="1377" w:hRule="exact"/>
        </w:trPr>
        <w:tc>
          <w:tcPr>
            <w:gridSpan w:val="2"/>
            <w:tcW w:w="1832" w:type="dxa"/>
            <w:vAlign w:val="center"/>
            <w:textDirection w:val="lrTb"/>
            <w:noWrap w:val="false"/>
          </w:tcPr>
          <w:p>
            <w:pPr>
              <w:jc w:val="center"/>
              <w:widowControl/>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合计</w:t>
            </w:r>
            <w:r/>
          </w:p>
        </w:tc>
        <w:tc>
          <w:tcPr>
            <w:gridSpan w:val="7"/>
            <w:tcW w:w="7444" w:type="dxa"/>
            <w:vAlign w:val="center"/>
            <w:textDirection w:val="lrTb"/>
            <w:noWrap w:val="false"/>
          </w:tcPr>
          <w:p>
            <w:pPr>
              <w:jc w:val="left"/>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大写：</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小写：</w:t>
            </w:r>
            <w:r>
              <w:rPr>
                <w:rFonts w:hint="eastAsia" w:ascii="仿宋" w:hAnsi="仿宋" w:eastAsia="仿宋" w:cs="仿宋"/>
                <w:sz w:val="24"/>
                <w:szCs w:val="24"/>
                <w:highlight w:val="white"/>
                <w:u w:val="single"/>
              </w:rPr>
              <w:t xml:space="preserve">                         </w:t>
            </w:r>
            <w:r/>
          </w:p>
        </w:tc>
      </w:tr>
    </w:tbl>
    <w:p>
      <w:pPr>
        <w:jc w:val="left"/>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说明：</w:t>
      </w:r>
      <w:r/>
    </w:p>
    <w:p>
      <w:pPr>
        <w:jc w:val="left"/>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1.如果行数不够，请自行增加。</w:t>
      </w:r>
      <w:r/>
    </w:p>
    <w:p>
      <w:pPr>
        <w:jc w:val="left"/>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2.未注明小微企业的，不享受价格扣除。</w:t>
      </w:r>
      <w:r/>
    </w:p>
    <w:p>
      <w:pPr>
        <w:jc w:val="left"/>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bCs/>
          <w:sz w:val="24"/>
          <w:szCs w:val="24"/>
          <w:highlight w:val="white"/>
        </w:rPr>
        <w:t xml:space="preserve">供应商法定代表人或授权代表姓名（签字）：</w:t>
      </w:r>
      <w:r/>
    </w:p>
    <w:p>
      <w:pPr>
        <w:spacing w:line="360" w:lineRule="auto"/>
        <w:rPr>
          <w:rFonts w:hint="eastAsia" w:ascii="仿宋" w:hAnsi="仿宋" w:eastAsia="仿宋" w:cs="仿宋"/>
          <w:b/>
          <w:sz w:val="24"/>
          <w:szCs w:val="24"/>
          <w:highlight w:val="white"/>
        </w:rPr>
      </w:pPr>
      <w:r>
        <w:rPr>
          <w:rFonts w:hint="eastAsia" w:ascii="仿宋" w:hAnsi="仿宋" w:eastAsia="仿宋" w:cs="仿宋"/>
          <w:bCs/>
          <w:sz w:val="24"/>
          <w:szCs w:val="24"/>
          <w:highlight w:val="white"/>
        </w:rPr>
        <w:t xml:space="preserve">供应商名称：（盖章）</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rPr>
          <w:rFonts w:hint="eastAsia" w:ascii="仿宋" w:hAnsi="仿宋" w:eastAsia="仿宋" w:cs="仿宋"/>
          <w:sz w:val="24"/>
          <w:szCs w:val="24"/>
          <w:highlight w:val="white"/>
        </w:rPr>
      </w:pPr>
      <w:r>
        <w:rPr>
          <w:rFonts w:hint="eastAsia" w:ascii="仿宋" w:hAnsi="仿宋" w:eastAsia="仿宋" w:cs="仿宋"/>
          <w:sz w:val="24"/>
          <w:szCs w:val="24"/>
          <w:highlight w:val="white"/>
        </w:rPr>
        <w:br w:type="page" w:clear="all"/>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七、实质性要求响应及偏离表</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实质性要求响应及偏离表</w:t>
      </w:r>
      <w:r/>
    </w:p>
    <w:tbl>
      <w:tblPr>
        <w:tblW w:w="9690" w:type="dxa"/>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0"/>
        <w:gridCol w:w="2919"/>
        <w:gridCol w:w="2832"/>
        <w:gridCol w:w="2273"/>
        <w:gridCol w:w="1056"/>
      </w:tblGrid>
      <w:tr>
        <w:trPr>
          <w:cantSplit/>
        </w:trPr>
        <w:tc>
          <w:tcPr>
            <w:tcW w:w="610"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序号</w:t>
            </w:r>
            <w:r/>
          </w:p>
        </w:tc>
        <w:tc>
          <w:tcPr>
            <w:tcW w:w="2919" w:type="dxa"/>
            <w:vAlign w:val="center"/>
            <w:textDirection w:val="lrTb"/>
            <w:noWrap w:val="false"/>
          </w:tcPr>
          <w:p>
            <w:pPr>
              <w:pStyle w:val="991"/>
              <w:jc w:val="center"/>
              <w:spacing w:before="0" w:beforeAutospacing="0" w:after="0" w:afterAutospacing="0" w:line="360" w:lineRule="auto"/>
              <w:rPr>
                <w:rFonts w:hint="eastAsia" w:ascii="仿宋" w:hAnsi="仿宋" w:eastAsia="仿宋" w:cs="仿宋"/>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highlight w:val="white"/>
              </w:rPr>
              <w:t xml:space="preserve">技术要求和商务要求中的实质性要求</w:t>
            </w:r>
            <w:r>
              <w:rPr>
                <w:rFonts w:hint="eastAsia" w:ascii="仿宋" w:hAnsi="仿宋" w:eastAsia="仿宋" w:cs="仿宋"/>
                <w:b/>
                <w:highlight w:val="white"/>
              </w:rPr>
              <w:t xml:space="preserve">（</w:t>
            </w:r>
            <w:r>
              <w:rPr>
                <w:rFonts w:hint="eastAsia" w:ascii="仿宋" w:hAnsi="仿宋" w:eastAsia="仿宋" w:cs="仿宋"/>
                <w:b/>
                <w:iCs/>
                <w:highlight w:val="white"/>
              </w:rPr>
              <w:t xml:space="preserve">斜体下划线内容</w:t>
            </w:r>
            <w:r>
              <w:rPr>
                <w:rFonts w:hint="eastAsia" w:ascii="仿宋" w:hAnsi="仿宋" w:eastAsia="仿宋" w:cs="仿宋"/>
                <w:b/>
                <w:bCs/>
                <w:highlight w:val="white"/>
              </w:rPr>
              <w:t xml:space="preserve">或打“★”内容）</w:t>
            </w:r>
            <w:r/>
          </w:p>
        </w:tc>
        <w:tc>
          <w:tcPr>
            <w:tcW w:w="2832" w:type="dxa"/>
            <w:vAlign w:val="center"/>
            <w:textDirection w:val="lrTb"/>
            <w:noWrap w:val="false"/>
          </w:tcPr>
          <w:p>
            <w:pPr>
              <w:pStyle w:val="991"/>
              <w:jc w:val="center"/>
              <w:spacing w:before="0" w:beforeAutospacing="0" w:after="0" w:afterAutospacing="0" w:line="360" w:lineRule="auto"/>
              <w:rPr>
                <w:rFonts w:hint="eastAsia" w:ascii="仿宋" w:hAnsi="仿宋" w:eastAsia="仿宋" w:cs="仿宋"/>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highlight w:val="white"/>
              </w:rPr>
              <w:t xml:space="preserve">响应情况（填报“响应或完全响应”）</w:t>
            </w:r>
            <w:r/>
          </w:p>
        </w:tc>
        <w:tc>
          <w:tcPr>
            <w:tcW w:w="2273" w:type="dxa"/>
            <w:vAlign w:val="center"/>
            <w:textDirection w:val="lrTb"/>
            <w:noWrap w:val="false"/>
          </w:tcPr>
          <w:p>
            <w:pPr>
              <w:pStyle w:val="991"/>
              <w:jc w:val="center"/>
              <w:spacing w:before="0" w:beforeAutospacing="0" w:after="0" w:afterAutospacing="0" w:line="360" w:lineRule="auto"/>
              <w:rPr>
                <w:rFonts w:hint="eastAsia" w:ascii="仿宋" w:hAnsi="仿宋" w:eastAsia="仿宋" w:cs="仿宋"/>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highlight w:val="white"/>
              </w:rPr>
              <w:t xml:space="preserve">偏离（填报“正偏离、无偏离或负偏离”）</w:t>
            </w:r>
            <w:r/>
          </w:p>
        </w:tc>
        <w:tc>
          <w:tcPr>
            <w:tcW w:w="1056"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证明</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材料</w:t>
            </w:r>
            <w:r/>
          </w:p>
        </w:tc>
      </w:tr>
      <w:tr>
        <w:trPr>
          <w:cantSplit/>
          <w:trHeight w:val="640"/>
        </w:trPr>
        <w:tc>
          <w:tcPr>
            <w:tcW w:w="610"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919"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832"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273"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56"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919"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832"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273"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56"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919"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832"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273"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56"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919"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832"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273"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56"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919"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832"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273"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56"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919"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832"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273"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56"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919"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832"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273"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56"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919"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w:t>
            </w:r>
            <w:r/>
          </w:p>
        </w:tc>
        <w:tc>
          <w:tcPr>
            <w:tcW w:w="2832"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2273"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c>
          <w:tcPr>
            <w:tcW w:w="1056" w:type="dxa"/>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bl>
    <w:p>
      <w:pPr>
        <w:ind w:right="180"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供应商名称：</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991"/>
        <w:ind w:firstLine="480"/>
        <w:jc w:val="both"/>
        <w:spacing w:before="0" w:beforeAutospacing="0" w:after="0" w:afterAutospacing="0" w:line="360" w:lineRule="auto"/>
        <w:rPr>
          <w:rFonts w:hint="eastAsia" w:ascii="仿宋" w:hAnsi="仿宋" w:eastAsia="仿宋" w:cs="仿宋"/>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highlight w:val="white"/>
        </w:rPr>
        <w:t xml:space="preserve">备注： </w:t>
      </w:r>
      <w:r/>
    </w:p>
    <w:p>
      <w:pPr>
        <w:pStyle w:val="991"/>
        <w:ind w:firstLine="480"/>
        <w:jc w:val="both"/>
        <w:spacing w:before="0" w:beforeAutospacing="0" w:after="0" w:afterAutospacing="0" w:line="360" w:lineRule="auto"/>
        <w:rPr>
          <w:rFonts w:hint="eastAsia" w:ascii="仿宋" w:hAnsi="仿宋" w:eastAsia="仿宋" w:cs="仿宋"/>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highlight w:val="white"/>
        </w:rPr>
        <w:t xml:space="preserve">1.供应商必须对技术要求和商务要求中的实质性要求（</w:t>
      </w:r>
      <w:r>
        <w:rPr>
          <w:rFonts w:hint="eastAsia" w:ascii="仿宋" w:hAnsi="仿宋" w:eastAsia="仿宋" w:cs="仿宋"/>
          <w:b/>
          <w:bCs/>
          <w:iCs/>
          <w:highlight w:val="white"/>
        </w:rPr>
        <w:t xml:space="preserve">斜体下划线内容</w:t>
      </w:r>
      <w:r>
        <w:rPr>
          <w:rFonts w:hint="eastAsia" w:ascii="仿宋" w:hAnsi="仿宋" w:eastAsia="仿宋" w:cs="仿宋"/>
          <w:b/>
          <w:bCs/>
          <w:highlight w:val="white"/>
        </w:rPr>
        <w:t xml:space="preserve">或打“★”内容</w:t>
      </w:r>
      <w:r>
        <w:rPr>
          <w:rFonts w:hint="eastAsia" w:ascii="仿宋" w:hAnsi="仿宋" w:eastAsia="仿宋" w:cs="仿宋"/>
          <w:highlight w:val="white"/>
        </w:rPr>
        <w:t xml:space="preserve">）做出明确响应，否则作无效响应处理。</w:t>
      </w:r>
      <w:r/>
    </w:p>
    <w:p>
      <w:pPr>
        <w:pStyle w:val="991"/>
        <w:ind w:firstLine="480"/>
        <w:jc w:val="both"/>
        <w:spacing w:before="0" w:beforeAutospacing="0" w:after="0" w:afterAutospacing="0" w:line="360" w:lineRule="auto"/>
        <w:rPr>
          <w:rFonts w:hint="eastAsia" w:ascii="仿宋" w:hAnsi="仿宋" w:eastAsia="仿宋" w:cs="仿宋"/>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highlight w:val="white"/>
        </w:rPr>
        <w:t xml:space="preserve">2.如果采购文件要求提供证明材料，供应商必须将证明材料列于该表之下。</w:t>
      </w:r>
      <w:r/>
    </w:p>
    <w:p>
      <w:pPr>
        <w:pStyle w:val="991"/>
        <w:ind w:firstLine="480"/>
        <w:jc w:val="both"/>
        <w:spacing w:before="0" w:beforeAutospacing="0" w:after="0" w:afterAutospacing="0" w:line="360" w:lineRule="auto"/>
        <w:rPr>
          <w:rFonts w:hint="eastAsia" w:ascii="仿宋" w:hAnsi="仿宋" w:eastAsia="仿宋" w:cs="仿宋"/>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highlight w:val="white"/>
        </w:rPr>
        <w:t xml:space="preserve">3.供应商未对实质性要求作出明确响应的，或未按采购文件要求提供证明材料的，作无效响应处理。</w:t>
      </w:r>
      <w:r/>
    </w:p>
    <w:p>
      <w:pPr>
        <w:pStyle w:val="991"/>
        <w:ind w:firstLine="480"/>
        <w:jc w:val="both"/>
        <w:spacing w:before="0" w:beforeAutospacing="0" w:after="0" w:afterAutospacing="0" w:line="360" w:lineRule="auto"/>
        <w:rPr>
          <w:rFonts w:hint="eastAsia" w:ascii="仿宋" w:hAnsi="仿宋" w:eastAsia="仿宋" w:cs="仿宋"/>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highlight w:val="white"/>
        </w:rPr>
        <w:t xml:space="preserve">4.行数不够，可自行添加。</w:t>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r>
      <w:r/>
    </w:p>
    <w:p>
      <w:pPr>
        <w:pStyle w:val="758"/>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t xml:space="preserve">八、中小企业声明函</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中小企业声明函（服务）</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本公司（联合体）郑重声明，根据《政府采购促进中小企业发展管理办法》(财库〔2020〕46号)的规定，本公司（联合体）参加</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（单位名称）采购编号为项目</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（分包号：</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（标的名称）属于</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行业（采购文件中明确的所属行业）；承接企业为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（企业名称），从业人员</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人，营业收入为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万元，资产总额为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w:t>
      </w:r>
      <w:r>
        <w:rPr>
          <w:rFonts w:hint="eastAsia" w:ascii="仿宋" w:hAnsi="仿宋" w:eastAsia="仿宋" w:cs="仿宋"/>
          <w:sz w:val="24"/>
          <w:szCs w:val="24"/>
          <w:highlight w:val="white"/>
          <w:vertAlign w:val="superscript"/>
        </w:rPr>
        <w:t xml:space="preserve">1</w:t>
      </w:r>
      <w:r>
        <w:rPr>
          <w:rFonts w:hint="eastAsia" w:ascii="仿宋" w:hAnsi="仿宋" w:eastAsia="仿宋" w:cs="仿宋"/>
          <w:sz w:val="24"/>
          <w:szCs w:val="24"/>
          <w:highlight w:val="white"/>
        </w:rPr>
        <w:t xml:space="preserve">，属于</w:t>
      </w:r>
      <w:r>
        <w:rPr>
          <w:rFonts w:hint="eastAsia" w:ascii="仿宋" w:hAnsi="仿宋" w:eastAsia="仿宋" w:cs="仿宋"/>
          <w:sz w:val="24"/>
          <w:szCs w:val="24"/>
          <w:highlight w:val="white"/>
        </w:rPr>
        <w:t xml:space="preserve">中型企业 </w:t>
      </w:r>
      <w:r>
        <w:rPr>
          <w:rFonts w:hint="eastAsia" w:ascii="仿宋" w:hAnsi="仿宋" w:eastAsia="仿宋" w:cs="仿宋"/>
          <w:sz w:val="24"/>
          <w:szCs w:val="24"/>
          <w:highlight w:val="white"/>
        </w:rPr>
        <w:t xml:space="preserve">小型企业 </w:t>
      </w:r>
      <w:r>
        <w:rPr>
          <w:rFonts w:hint="eastAsia" w:ascii="仿宋" w:hAnsi="仿宋" w:eastAsia="仿宋" w:cs="仿宋"/>
          <w:sz w:val="24"/>
          <w:szCs w:val="24"/>
          <w:highlight w:val="white"/>
        </w:rPr>
        <w:t xml:space="preserve">微型企业。</w:t>
      </w:r>
      <w:r/>
    </w:p>
    <w:p>
      <w:pPr>
        <w:ind w:firstLine="480"/>
        <w:spacing w:line="360" w:lineRule="auto"/>
        <w:rPr>
          <w:rFonts w:hint="eastAsia" w:ascii="仿宋" w:hAnsi="仿宋" w:eastAsia="仿宋" w:cs="仿宋"/>
          <w:i/>
          <w:sz w:val="24"/>
          <w:szCs w:val="24"/>
          <w:highlight w:val="white"/>
        </w:rPr>
      </w:pPr>
      <w:r>
        <w:rPr>
          <w:rFonts w:hint="eastAsia" w:ascii="仿宋" w:hAnsi="仿宋" w:eastAsia="仿宋" w:cs="仿宋"/>
          <w:sz w:val="24"/>
          <w:szCs w:val="24"/>
          <w:highlight w:val="white"/>
        </w:rPr>
        <w:t xml:space="preserve">2.</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（标的名称）属于</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行业（采购文件中明确的所属行业）；承接企业为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（企业名称），从业人员</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人，营业收入为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万元，资产总额为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w:t>
      </w:r>
      <w:r>
        <w:rPr>
          <w:rFonts w:hint="eastAsia" w:ascii="仿宋" w:hAnsi="仿宋" w:eastAsia="仿宋" w:cs="仿宋"/>
          <w:sz w:val="24"/>
          <w:szCs w:val="24"/>
          <w:highlight w:val="white"/>
          <w:vertAlign w:val="superscript"/>
        </w:rPr>
        <w:t xml:space="preserve">1</w:t>
      </w:r>
      <w:r>
        <w:rPr>
          <w:rFonts w:hint="eastAsia" w:ascii="仿宋" w:hAnsi="仿宋" w:eastAsia="仿宋" w:cs="仿宋"/>
          <w:sz w:val="24"/>
          <w:szCs w:val="24"/>
          <w:highlight w:val="white"/>
        </w:rPr>
        <w:t xml:space="preserve">，属于</w:t>
      </w:r>
      <w:r>
        <w:rPr>
          <w:rFonts w:hint="eastAsia" w:ascii="仿宋" w:hAnsi="仿宋" w:eastAsia="仿宋" w:cs="仿宋"/>
          <w:sz w:val="24"/>
          <w:szCs w:val="24"/>
          <w:highlight w:val="white"/>
        </w:rPr>
        <w:t xml:space="preserve">中型企业 </w:t>
      </w:r>
      <w:r>
        <w:rPr>
          <w:rFonts w:hint="eastAsia" w:ascii="仿宋" w:hAnsi="仿宋" w:eastAsia="仿宋" w:cs="仿宋"/>
          <w:sz w:val="24"/>
          <w:szCs w:val="24"/>
          <w:highlight w:val="white"/>
        </w:rPr>
        <w:t xml:space="preserve">小型企业 </w:t>
      </w:r>
      <w:r>
        <w:rPr>
          <w:rFonts w:hint="eastAsia" w:ascii="仿宋" w:hAnsi="仿宋" w:eastAsia="仿宋" w:cs="仿宋"/>
          <w:sz w:val="24"/>
          <w:szCs w:val="24"/>
          <w:highlight w:val="white"/>
        </w:rPr>
        <w:t xml:space="preserve">微型企业。</w:t>
      </w:r>
      <w:r/>
    </w:p>
    <w:p>
      <w:pPr>
        <w:ind w:firstLine="3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本企业对上述声明内容的真实性负责，如有虚假，将依法承担相应责任。</w:t>
      </w:r>
      <w:r/>
    </w:p>
    <w:p>
      <w:pPr>
        <w:pStyle w:val="758"/>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企业名称：</w:t>
      </w:r>
      <w:r/>
    </w:p>
    <w:p>
      <w:pPr>
        <w:ind w:firstLine="600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    期：</w:t>
      </w:r>
      <w:r/>
    </w:p>
    <w:p>
      <w:pPr>
        <w:ind w:firstLine="480"/>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备注：1.从业人员、营业收入、资产总额填报上一年度数据，无上一年度数据的新成立企业可不填报。2.在所属企业类型前的</w:t>
      </w:r>
      <w:r>
        <w:rPr>
          <w:rFonts w:hint="eastAsia" w:ascii="仿宋" w:hAnsi="仿宋" w:eastAsia="仿宋" w:cs="仿宋"/>
          <w:sz w:val="24"/>
          <w:szCs w:val="24"/>
          <w:highlight w:val="white"/>
        </w:rPr>
        <w:t xml:space="preserve">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仿宋" w:hAnsi="仿宋" w:eastAsia="仿宋" w:cs="仿宋"/>
          <w:b/>
          <w:i/>
          <w:sz w:val="24"/>
          <w:szCs w:val="24"/>
          <w:highlight w:val="white"/>
          <w:u w:val="single"/>
        </w:rPr>
      </w:pPr>
      <w:r>
        <w:rPr>
          <w:rFonts w:hint="eastAsia" w:ascii="仿宋" w:hAnsi="仿宋" w:eastAsia="仿宋" w:cs="仿宋"/>
          <w:b/>
          <w:sz w:val="24"/>
          <w:szCs w:val="24"/>
          <w:highlight w:val="white"/>
        </w:rPr>
        <w:br w:type="page" w:clear="all"/>
      </w:r>
      <w:r>
        <w:rPr>
          <w:rFonts w:hint="eastAsia" w:ascii="仿宋" w:hAnsi="仿宋" w:eastAsia="仿宋" w:cs="仿宋"/>
          <w:iCs/>
          <w:sz w:val="24"/>
          <w:szCs w:val="24"/>
          <w:highlight w:val="white"/>
        </w:rPr>
        <w:t xml:space="preserve">九、残疾人福利性单位声明函</w:t>
      </w:r>
      <w:r/>
    </w:p>
    <w:p>
      <w:pPr>
        <w:jc w:val="center"/>
        <w:spacing w:line="360" w:lineRule="auto"/>
        <w:rPr>
          <w:rFonts w:hint="eastAsia" w:ascii="仿宋" w:hAnsi="仿宋" w:eastAsia="仿宋" w:cs="仿宋"/>
          <w:sz w:val="24"/>
          <w:szCs w:val="24"/>
          <w:highlight w:val="white"/>
        </w:rPr>
        <w:outlineLvl w:val="0"/>
      </w:pPr>
      <w:r>
        <w:rPr>
          <w:rFonts w:hint="eastAsia" w:ascii="仿宋" w:hAnsi="仿宋" w:eastAsia="仿宋" w:cs="仿宋"/>
          <w:sz w:val="24"/>
          <w:szCs w:val="24"/>
          <w:highlight w:val="white"/>
        </w:rPr>
        <w:t xml:space="preserve">残疾人福利性单位声明函</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（单位名称）采购编号为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项目（分包号：</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）的采购活动，服务全部由本单位提供。</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本单位对上述声明的真实性负责，如有虚假，将依法承担相应责任。</w:t>
      </w:r>
      <w:r/>
    </w:p>
    <w:p>
      <w:pPr>
        <w:pStyle w:val="758"/>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企业名称：</w:t>
      </w:r>
      <w:r/>
    </w:p>
    <w:p>
      <w:pPr>
        <w:ind w:firstLine="600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    期：</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备注：1.供应商如不提供此声明函，价格将不做相应扣除。2.供应商为残疾人福利性单位的，此声明函将随成交结果同时公告，接受社会监督。</w:t>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rPr>
          <w:rFonts w:hint="eastAsia" w:ascii="仿宋" w:hAnsi="仿宋" w:eastAsia="仿宋" w:cs="仿宋"/>
          <w:sz w:val="24"/>
          <w:szCs w:val="24"/>
          <w:highlight w:val="white"/>
        </w:rPr>
      </w:pPr>
      <w:r>
        <w:rPr>
          <w:rFonts w:hint="eastAsia" w:ascii="仿宋" w:hAnsi="仿宋" w:eastAsia="仿宋" w:cs="仿宋"/>
          <w:iCs/>
          <w:sz w:val="24"/>
          <w:szCs w:val="24"/>
          <w:highlight w:val="white"/>
        </w:rPr>
        <w:br w:type="page" w:clear="all"/>
      </w:r>
      <w:r/>
    </w:p>
    <w:p>
      <w:pPr>
        <w:jc w:val="left"/>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t xml:space="preserve">十、二次报价表</w:t>
      </w:r>
      <w:r/>
    </w:p>
    <w:p>
      <w:pPr>
        <w:jc w:val="center"/>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white"/>
        </w:rPr>
        <w:t xml:space="preserve">二次报价表</w:t>
      </w:r>
      <w:r/>
    </w:p>
    <w:p>
      <w:pPr>
        <w:ind w:firstLine="480"/>
        <w:spacing w:line="360" w:lineRule="auto"/>
        <w:rPr>
          <w:rFonts w:hint="eastAsia" w:ascii="仿宋" w:hAnsi="仿宋" w:eastAsia="仿宋" w:cs="仿宋"/>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white"/>
        </w:rPr>
      </w:r>
      <w:r/>
    </w:p>
    <w:p>
      <w:pPr>
        <w:pStyle w:val="1051"/>
        <w:ind w:firstLine="480"/>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供应商全称：</w:t>
      </w:r>
      <w:r>
        <w:rPr>
          <w:rFonts w:hint="eastAsia" w:ascii="仿宋" w:hAnsi="仿宋" w:eastAsia="仿宋" w:cs="仿宋"/>
          <w:sz w:val="24"/>
          <w:szCs w:val="24"/>
          <w:highlight w:val="white"/>
          <w:u w:val="single"/>
        </w:rPr>
        <w:t xml:space="preserve">                            </w:t>
      </w:r>
      <w:r/>
    </w:p>
    <w:p>
      <w:pPr>
        <w:pStyle w:val="1051"/>
        <w:ind w:firstLine="480"/>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项目编号：</w:t>
      </w:r>
      <w:r>
        <w:rPr>
          <w:rFonts w:hint="eastAsia" w:ascii="仿宋" w:hAnsi="仿宋" w:eastAsia="仿宋" w:cs="仿宋"/>
          <w:sz w:val="24"/>
          <w:szCs w:val="24"/>
          <w:highlight w:val="white"/>
          <w:u w:val="single"/>
        </w:rPr>
        <w:t xml:space="preserve">                            </w:t>
      </w:r>
      <w:r/>
    </w:p>
    <w:tbl>
      <w:tblPr>
        <w:tblStyle w:val="752"/>
        <w:tblW w:w="8773"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5015"/>
        <w:gridCol w:w="1898"/>
        <w:gridCol w:w="1860"/>
      </w:tblGrid>
      <w:tr>
        <w:trPr>
          <w:jc w:val="center"/>
          <w:trHeight w:val="606"/>
        </w:trPr>
        <w:tc>
          <w:tcPr>
            <w:tcMar>
              <w:left w:w="15" w:type="dxa"/>
              <w:top w:w="15" w:type="dxa"/>
              <w:right w:w="15" w:type="dxa"/>
              <w:bottom w:w="15" w:type="dxa"/>
            </w:tcMar>
            <w:tcW w:w="5015" w:type="dxa"/>
            <w:vAlign w:val="center"/>
            <w:textDirection w:val="lrTb"/>
            <w:noWrap/>
          </w:tcPr>
          <w:p>
            <w:pPr>
              <w:pStyle w:val="1051"/>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项目名称</w:t>
            </w:r>
            <w:r/>
          </w:p>
        </w:tc>
        <w:tc>
          <w:tcPr>
            <w:tcMar>
              <w:left w:w="15" w:type="dxa"/>
              <w:top w:w="15" w:type="dxa"/>
              <w:right w:w="15" w:type="dxa"/>
              <w:bottom w:w="15" w:type="dxa"/>
            </w:tcMar>
            <w:tcW w:w="1898" w:type="dxa"/>
            <w:vAlign w:val="center"/>
            <w:textDirection w:val="lrTb"/>
            <w:noWrap/>
          </w:tcPr>
          <w:p>
            <w:pPr>
              <w:pStyle w:val="1051"/>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报价</w:t>
            </w:r>
            <w:r/>
          </w:p>
        </w:tc>
        <w:tc>
          <w:tcPr>
            <w:tcMar>
              <w:left w:w="15" w:type="dxa"/>
              <w:top w:w="15" w:type="dxa"/>
              <w:right w:w="15" w:type="dxa"/>
              <w:bottom w:w="15" w:type="dxa"/>
            </w:tcMar>
            <w:tcW w:w="1860" w:type="dxa"/>
            <w:vAlign w:val="center"/>
            <w:textDirection w:val="lrTb"/>
            <w:noWrap/>
          </w:tcPr>
          <w:p>
            <w:pPr>
              <w:pStyle w:val="1051"/>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备注</w:t>
            </w:r>
            <w:r/>
          </w:p>
        </w:tc>
      </w:tr>
      <w:tr>
        <w:trPr>
          <w:jc w:val="center"/>
          <w:trHeight w:val="1710"/>
        </w:trPr>
        <w:tc>
          <w:tcPr>
            <w:tcMar>
              <w:left w:w="15" w:type="dxa"/>
              <w:top w:w="15" w:type="dxa"/>
              <w:right w:w="15" w:type="dxa"/>
              <w:bottom w:w="15" w:type="dxa"/>
            </w:tcMar>
            <w:tcW w:w="5015" w:type="dxa"/>
            <w:vAlign w:val="center"/>
            <w:textDirection w:val="lrTb"/>
            <w:noWrap/>
          </w:tcPr>
          <w:p>
            <w:pPr>
              <w:pStyle w:val="1051"/>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rPr>
              <w:t xml:space="preserve">2025-2026年浦口区白蚁防治服务项目</w:t>
            </w:r>
            <w:r/>
          </w:p>
        </w:tc>
        <w:tc>
          <w:tcPr>
            <w:tcMar>
              <w:left w:w="15" w:type="dxa"/>
              <w:top w:w="15" w:type="dxa"/>
              <w:right w:w="15" w:type="dxa"/>
              <w:bottom w:w="15" w:type="dxa"/>
            </w:tcMar>
            <w:tcW w:w="1898" w:type="dxa"/>
            <w:vAlign w:val="center"/>
            <w:textDirection w:val="lrTb"/>
            <w:noWrap/>
          </w:tcPr>
          <w:p>
            <w:pPr>
              <w:pStyle w:val="1051"/>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元</w:t>
            </w:r>
            <w:r/>
          </w:p>
        </w:tc>
        <w:tc>
          <w:tcPr>
            <w:tcMar>
              <w:left w:w="15" w:type="dxa"/>
              <w:top w:w="15" w:type="dxa"/>
              <w:right w:w="15" w:type="dxa"/>
              <w:bottom w:w="15" w:type="dxa"/>
            </w:tcMar>
            <w:tcW w:w="1860" w:type="dxa"/>
            <w:vAlign w:val="center"/>
            <w:textDirection w:val="lrTb"/>
            <w:noWrap/>
          </w:tcPr>
          <w:p>
            <w:pPr>
              <w:pStyle w:val="1051"/>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tc>
      </w:tr>
    </w:tbl>
    <w:p>
      <w:pPr>
        <w:pStyle w:val="1051"/>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051"/>
        <w:ind w:firstLine="480"/>
        <w:spacing w:line="360" w:lineRule="auto"/>
        <w:rPr>
          <w:rFonts w:hint="eastAsia" w:ascii="仿宋" w:hAnsi="仿宋" w:eastAsia="仿宋" w:cs="仿宋"/>
          <w:sz w:val="24"/>
          <w:szCs w:val="24"/>
        </w:rPr>
      </w:pPr>
      <w:r>
        <w:rPr>
          <w:rFonts w:hint="eastAsia" w:ascii="仿宋" w:hAnsi="仿宋" w:eastAsia="仿宋" w:cs="仿宋"/>
          <w:sz w:val="24"/>
          <w:szCs w:val="24"/>
          <w:highlight w:val="white"/>
        </w:rPr>
        <w:t xml:space="preserve">                                            </w:t>
      </w:r>
      <w:r/>
    </w:p>
    <w:p>
      <w:pPr>
        <w:pStyle w:val="105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供应商法定代表人或授权代表姓名（签字）：</w:t>
      </w:r>
      <w:r/>
    </w:p>
    <w:p>
      <w:pPr>
        <w:pStyle w:val="105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供应商名称：（盖章）</w:t>
      </w:r>
      <w:r/>
    </w:p>
    <w:p>
      <w:pPr>
        <w:pStyle w:val="1051"/>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日期：  年  月  日</w:t>
      </w:r>
      <w:bookmarkEnd w:id="43"/>
      <w:r/>
      <w:bookmarkEnd w:id="44"/>
      <w:r/>
      <w:bookmarkEnd w:id="187"/>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spacing w:line="360" w:lineRule="auto"/>
        <w:rPr>
          <w:rFonts w:hint="eastAsia" w:ascii="仿宋" w:hAnsi="仿宋" w:eastAsia="仿宋" w:cs="仿宋"/>
          <w:sz w:val="24"/>
          <w:szCs w:val="24"/>
          <w:highlight w:val="white"/>
        </w:rPr>
        <w:outlineLvl w:val="0"/>
      </w:pPr>
      <w:r>
        <w:rPr>
          <w:rFonts w:hint="eastAsia" w:ascii="仿宋" w:hAnsi="仿宋" w:eastAsia="仿宋" w:cs="仿宋"/>
          <w:sz w:val="24"/>
          <w:szCs w:val="24"/>
          <w:highlight w:val="white"/>
        </w:rPr>
      </w:r>
      <w:r/>
    </w:p>
    <w:p>
      <w:pPr>
        <w:rPr>
          <w:rFonts w:hint="eastAsia" w:ascii="仿宋" w:hAnsi="仿宋" w:eastAsia="仿宋" w:cs="仿宋"/>
          <w:sz w:val="24"/>
          <w:szCs w:val="24"/>
          <w:highlight w:val="white"/>
        </w:rPr>
        <w:outlineLvl w:val="0"/>
      </w:pPr>
      <w:r>
        <w:rPr>
          <w:rFonts w:hint="eastAsia" w:ascii="仿宋" w:hAnsi="仿宋" w:eastAsia="仿宋" w:cs="仿宋"/>
          <w:sz w:val="24"/>
          <w:szCs w:val="24"/>
          <w:highlight w:val="white"/>
        </w:rPr>
        <w:br w:type="page" w:clear="all"/>
      </w:r>
      <w:r/>
    </w:p>
    <w:p>
      <w:pPr>
        <w:jc w:val="center"/>
        <w:spacing w:line="360" w:lineRule="auto"/>
        <w:rPr>
          <w:rFonts w:hint="eastAsia" w:ascii="仿宋" w:hAnsi="仿宋" w:eastAsia="仿宋" w:cs="仿宋"/>
          <w:sz w:val="24"/>
          <w:szCs w:val="24"/>
          <w:highlight w:val="white"/>
        </w:rPr>
        <w:outlineLvl w:val="0"/>
      </w:pPr>
      <w:r>
        <w:rPr>
          <w:rFonts w:hint="eastAsia" w:ascii="仿宋" w:hAnsi="仿宋" w:eastAsia="仿宋" w:cs="仿宋"/>
          <w:sz w:val="24"/>
          <w:szCs w:val="24"/>
          <w:highlight w:val="white"/>
        </w:rPr>
        <w:t xml:space="preserve">质疑函范本</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一、质疑供应商基本信息</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质疑供应商：</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邮编：</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联系电话：</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授权代表：</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联系电话：</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 </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邮编：</w:t>
      </w:r>
      <w:r>
        <w:rPr>
          <w:rFonts w:hint="eastAsia" w:ascii="仿宋" w:hAnsi="仿宋" w:eastAsia="仿宋" w:cs="仿宋"/>
          <w:sz w:val="24"/>
          <w:szCs w:val="24"/>
          <w:highlight w:val="white"/>
          <w:u w:val="single"/>
        </w:rPr>
        <w:t xml:space="preserve">                                     </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二、质疑项目基本情况</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项目名称：</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项目编号：</w:t>
      </w:r>
      <w:r>
        <w:rPr>
          <w:rFonts w:hint="eastAsia" w:ascii="仿宋" w:hAnsi="仿宋" w:eastAsia="仿宋" w:cs="仿宋"/>
          <w:sz w:val="24"/>
          <w:szCs w:val="24"/>
          <w:highlight w:val="white"/>
          <w:u w:val="single"/>
        </w:rPr>
        <w:t xml:space="preserve">                         分</w:t>
      </w:r>
      <w:r>
        <w:rPr>
          <w:rFonts w:hint="eastAsia" w:ascii="仿宋" w:hAnsi="仿宋" w:eastAsia="仿宋" w:cs="仿宋"/>
          <w:sz w:val="24"/>
          <w:szCs w:val="24"/>
          <w:highlight w:val="white"/>
        </w:rPr>
        <w:t xml:space="preserve">包号：</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采购人名称：</w:t>
      </w:r>
      <w:r>
        <w:rPr>
          <w:rFonts w:hint="eastAsia" w:ascii="仿宋" w:hAnsi="仿宋" w:eastAsia="仿宋" w:cs="仿宋"/>
          <w:sz w:val="24"/>
          <w:szCs w:val="24"/>
          <w:highlight w:val="white"/>
          <w:u w:val="single"/>
        </w:rPr>
        <w:t xml:space="preserve">                                                              </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三、质疑事项具体内容</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质疑事项1：</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事实依据：</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法律依据：</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质疑事项2</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四、质疑事项相关请求</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请求：</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签字(签章)：                   公章：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日期：    </w:t>
      </w:r>
      <w:r/>
    </w:p>
    <w:p>
      <w:pPr>
        <w:spacing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质疑函制作说明：</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1.供应商提出质疑，应提交《质疑函》和必要的证明材料。</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2.由授权代表负责质疑事宜的，《质疑函》附件中应提交由质疑供应商法定代表人签署的《授权委托书》。</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3.质疑供应商针对项目的某一分包进行质疑的，《质疑函》中应明确分包号。</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4.《质疑函》的质疑事项应具体、明确，并有必要的事实依据和法律依据。</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5.《质疑函》的质疑请求应与质疑事项相关。</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8"/>
          <w:szCs w:val="28"/>
          <w:highlight w:val="white"/>
        </w:rPr>
      </w:pPr>
      <w:r>
        <w:rPr>
          <w:rFonts w:hint="eastAsia" w:ascii="仿宋" w:hAnsi="仿宋" w:eastAsia="仿宋" w:cs="仿宋"/>
          <w:sz w:val="28"/>
          <w:szCs w:val="28"/>
          <w:highlight w:val="white"/>
        </w:rPr>
      </w:r>
      <w:r/>
    </w:p>
    <w:p>
      <w:pPr>
        <w:ind w:firstLine="420"/>
        <w:rPr>
          <w:rFonts w:hint="eastAsia" w:ascii="仿宋" w:hAnsi="仿宋" w:eastAsia="仿宋" w:cs="仿宋"/>
          <w:sz w:val="28"/>
          <w:szCs w:val="28"/>
          <w:highlight w:val="white"/>
        </w:rPr>
      </w:pPr>
      <w:r>
        <w:rPr>
          <w:rFonts w:hint="eastAsia" w:ascii="仿宋" w:hAnsi="仿宋" w:eastAsia="仿宋" w:cs="仿宋"/>
          <w:sz w:val="28"/>
          <w:szCs w:val="28"/>
          <w:highlight w:val="white"/>
        </w:rPr>
      </w:r>
      <w:r/>
    </w:p>
    <w:sectPr>
      <w:footnotePr/>
      <w:endnotePr/>
      <w:type w:val="continuous"/>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2"/>
        <w:szCs w:val="1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1"/>
      <w:isLgl w:val="false"/>
      <w:suff w:val="nothing"/>
      <w:lvlText w:val=""/>
      <w:lvlJc w:val="left"/>
      <w:pPr>
        <w:ind w:left="0" w:firstLine="0"/>
      </w:pPr>
      <w:rPr>
        <w:rFonts w:hint="eastAsia"/>
      </w:rPr>
    </w:lvl>
    <w:lvl w:ilvl="6">
      <w:start w:val="1"/>
      <w:numFmt w:val="decimal"/>
      <w:pStyle w:val="942"/>
      <w:isLgl w:val="false"/>
      <w:suff w:val="nothing"/>
      <w:lvlText w:val=""/>
      <w:lvlJc w:val="left"/>
      <w:pPr>
        <w:ind w:left="0" w:firstLine="0"/>
      </w:pPr>
      <w:rPr>
        <w:rFonts w:hint="eastAsia"/>
      </w:rPr>
    </w:lvl>
    <w:lvl w:ilvl="7">
      <w:start w:val="1"/>
      <w:numFmt w:val="decimal"/>
      <w:pStyle w:val="943"/>
      <w:isLgl w:val="false"/>
      <w:suff w:val="nothing"/>
      <w:lvlText w:val=""/>
      <w:lvlJc w:val="left"/>
      <w:pPr>
        <w:ind w:left="0" w:firstLine="0"/>
      </w:pPr>
      <w:rPr>
        <w:rFonts w:hint="eastAsia"/>
      </w:rPr>
    </w:lvl>
    <w:lvl w:ilvl="8">
      <w:start w:val="1"/>
      <w:numFmt w:val="decimal"/>
      <w:pStyle w:val="944"/>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1" w:default="1">
    <w:name w:val="Normal"/>
    <w:qFormat/>
    <w:pPr>
      <w:jc w:val="both"/>
      <w:widowControl w:val="off"/>
    </w:pPr>
    <w:rPr>
      <w:sz w:val="21"/>
      <w:szCs w:val="22"/>
    </w:rPr>
  </w:style>
  <w:style w:type="paragraph" w:styleId="712">
    <w:name w:val="Heading 1"/>
    <w:basedOn w:val="711"/>
    <w:next w:val="711"/>
    <w:link w:val="811"/>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812"/>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813"/>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814"/>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815"/>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816"/>
    <w:uiPriority w:val="9"/>
    <w:unhideWhenUsed/>
    <w:qFormat/>
    <w:pPr>
      <w:keepLines/>
      <w:keepNext/>
      <w:spacing w:before="320" w:after="200"/>
      <w:outlineLvl w:val="5"/>
    </w:pPr>
    <w:rPr>
      <w:rFonts w:ascii="Arial" w:hAnsi="Arial" w:eastAsia="Arial" w:cs="Arial"/>
      <w:b/>
      <w:bCs/>
      <w:sz w:val="22"/>
    </w:rPr>
  </w:style>
  <w:style w:type="paragraph" w:styleId="718">
    <w:name w:val="Heading 7"/>
    <w:basedOn w:val="711"/>
    <w:next w:val="711"/>
    <w:link w:val="817"/>
    <w:uiPriority w:val="9"/>
    <w:unhideWhenUsed/>
    <w:qFormat/>
    <w:pPr>
      <w:keepLines/>
      <w:keepNext/>
      <w:spacing w:before="320" w:after="200"/>
      <w:outlineLvl w:val="6"/>
    </w:pPr>
    <w:rPr>
      <w:rFonts w:ascii="Arial" w:hAnsi="Arial" w:eastAsia="Arial" w:cs="Arial"/>
      <w:b/>
      <w:bCs/>
      <w:i/>
      <w:iCs/>
      <w:sz w:val="22"/>
    </w:rPr>
  </w:style>
  <w:style w:type="paragraph" w:styleId="719">
    <w:name w:val="Heading 8"/>
    <w:basedOn w:val="711"/>
    <w:next w:val="711"/>
    <w:link w:val="818"/>
    <w:uiPriority w:val="9"/>
    <w:unhideWhenUsed/>
    <w:qFormat/>
    <w:pPr>
      <w:keepLines/>
      <w:keepNext/>
      <w:spacing w:before="320" w:after="200"/>
      <w:outlineLvl w:val="7"/>
    </w:pPr>
    <w:rPr>
      <w:rFonts w:ascii="Arial" w:hAnsi="Arial" w:eastAsia="Arial" w:cs="Arial"/>
      <w:i/>
      <w:iCs/>
      <w:sz w:val="22"/>
    </w:rPr>
  </w:style>
  <w:style w:type="paragraph" w:styleId="720">
    <w:name w:val="Heading 9"/>
    <w:basedOn w:val="711"/>
    <w:next w:val="711"/>
    <w:link w:val="819"/>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style>
  <w:style w:type="table" w:styleId="722" w:default="1">
    <w:name w:val="Normal Table"/>
    <w:uiPriority w:val="99"/>
    <w:semiHidden/>
    <w:unhideWhenUsed/>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toc 7"/>
    <w:basedOn w:val="711"/>
    <w:next w:val="711"/>
    <w:uiPriority w:val="39"/>
    <w:unhideWhenUsed/>
    <w:qFormat/>
    <w:pPr>
      <w:ind w:left="1701"/>
      <w:spacing w:after="57"/>
    </w:pPr>
  </w:style>
  <w:style w:type="paragraph" w:styleId="725">
    <w:name w:val="Normal Indent"/>
    <w:basedOn w:val="711"/>
    <w:next w:val="711"/>
    <w:qFormat/>
    <w:pPr>
      <w:ind w:firstLine="420"/>
    </w:pPr>
    <w:rPr>
      <w:szCs w:val="20"/>
    </w:rPr>
  </w:style>
  <w:style w:type="paragraph" w:styleId="726">
    <w:name w:val="Caption"/>
    <w:basedOn w:val="711"/>
    <w:next w:val="711"/>
    <w:uiPriority w:val="35"/>
    <w:semiHidden/>
    <w:unhideWhenUsed/>
    <w:qFormat/>
    <w:pPr>
      <w:spacing w:line="276" w:lineRule="auto"/>
    </w:pPr>
    <w:rPr>
      <w:b/>
      <w:bCs/>
      <w:color w:val="4f81bd" w:themeColor="accent1"/>
      <w:sz w:val="18"/>
      <w:szCs w:val="18"/>
    </w:rPr>
  </w:style>
  <w:style w:type="paragraph" w:styleId="727">
    <w:name w:val="annotation text"/>
    <w:basedOn w:val="711"/>
    <w:qFormat/>
    <w:pPr>
      <w:jc w:val="left"/>
    </w:pPr>
  </w:style>
  <w:style w:type="paragraph" w:styleId="728">
    <w:name w:val="Body Text"/>
    <w:basedOn w:val="711"/>
    <w:link w:val="1055"/>
    <w:semiHidden/>
    <w:qFormat/>
  </w:style>
  <w:style w:type="paragraph" w:styleId="729">
    <w:name w:val="Body Text Indent"/>
    <w:basedOn w:val="711"/>
    <w:next w:val="730"/>
    <w:unhideWhenUsed/>
    <w:qFormat/>
    <w:pPr>
      <w:ind w:left="420"/>
      <w:spacing w:after="120"/>
    </w:pPr>
    <w:rPr>
      <w:b/>
    </w:rPr>
  </w:style>
  <w:style w:type="paragraph" w:styleId="730">
    <w:name w:val="Body Text First Indent 2"/>
    <w:basedOn w:val="729"/>
    <w:qFormat/>
    <w:pPr>
      <w:ind w:left="0" w:firstLine="420"/>
      <w:spacing w:after="0" w:line="360" w:lineRule="auto"/>
    </w:pPr>
    <w:rPr>
      <w:rFonts w:ascii="宋体" w:hAnsi="宋体"/>
      <w:szCs w:val="20"/>
    </w:rPr>
  </w:style>
  <w:style w:type="paragraph" w:styleId="731">
    <w:name w:val="index 4"/>
    <w:next w:val="711"/>
    <w:qFormat/>
    <w:pPr>
      <w:ind w:left="600"/>
      <w:jc w:val="both"/>
      <w:widowControl w:val="off"/>
    </w:pPr>
    <w:rPr>
      <w:sz w:val="21"/>
      <w:szCs w:val="24"/>
    </w:rPr>
  </w:style>
  <w:style w:type="paragraph" w:styleId="732">
    <w:name w:val="toc 5"/>
    <w:basedOn w:val="711"/>
    <w:next w:val="711"/>
    <w:uiPriority w:val="39"/>
    <w:unhideWhenUsed/>
    <w:qFormat/>
    <w:pPr>
      <w:ind w:left="1134"/>
      <w:spacing w:after="57"/>
    </w:pPr>
  </w:style>
  <w:style w:type="paragraph" w:styleId="733">
    <w:name w:val="toc 3"/>
    <w:basedOn w:val="711"/>
    <w:next w:val="711"/>
    <w:uiPriority w:val="39"/>
    <w:unhideWhenUsed/>
    <w:qFormat/>
    <w:pPr>
      <w:ind w:left="567"/>
      <w:spacing w:after="57"/>
    </w:pPr>
  </w:style>
  <w:style w:type="paragraph" w:styleId="734">
    <w:name w:val="Plain Text"/>
    <w:basedOn w:val="711"/>
    <w:qFormat/>
    <w:rPr>
      <w:rFonts w:ascii="宋体" w:hAnsi="Courier New"/>
      <w:sz w:val="20"/>
    </w:rPr>
  </w:style>
  <w:style w:type="paragraph" w:styleId="735">
    <w:name w:val="toc 8"/>
    <w:basedOn w:val="711"/>
    <w:next w:val="711"/>
    <w:uiPriority w:val="39"/>
    <w:unhideWhenUsed/>
    <w:qFormat/>
    <w:pPr>
      <w:ind w:left="1984"/>
      <w:spacing w:after="57"/>
    </w:pPr>
  </w:style>
  <w:style w:type="paragraph" w:styleId="736">
    <w:name w:val="Body Text Indent 2"/>
    <w:basedOn w:val="711"/>
    <w:qFormat/>
    <w:pPr>
      <w:ind w:left="420"/>
      <w:spacing w:after="120" w:line="480" w:lineRule="auto"/>
    </w:pPr>
  </w:style>
  <w:style w:type="paragraph" w:styleId="737">
    <w:name w:val="endnote text"/>
    <w:basedOn w:val="711"/>
    <w:link w:val="938"/>
    <w:uiPriority w:val="99"/>
    <w:semiHidden/>
    <w:unhideWhenUsed/>
    <w:qFormat/>
    <w:rPr>
      <w:sz w:val="20"/>
    </w:rPr>
  </w:style>
  <w:style w:type="paragraph" w:styleId="738">
    <w:name w:val="Footer"/>
    <w:basedOn w:val="711"/>
    <w:link w:val="830"/>
    <w:uiPriority w:val="99"/>
    <w:unhideWhenUsed/>
    <w:qFormat/>
    <w:pPr>
      <w:tabs>
        <w:tab w:val="center" w:pos="7143" w:leader="none"/>
        <w:tab w:val="right" w:pos="14287" w:leader="none"/>
      </w:tabs>
    </w:pPr>
  </w:style>
  <w:style w:type="paragraph" w:styleId="739">
    <w:name w:val="Header"/>
    <w:basedOn w:val="711"/>
    <w:link w:val="828"/>
    <w:uiPriority w:val="99"/>
    <w:unhideWhenUsed/>
    <w:qFormat/>
    <w:pPr>
      <w:tabs>
        <w:tab w:val="center" w:pos="7143" w:leader="none"/>
        <w:tab w:val="right" w:pos="14287" w:leader="none"/>
      </w:tabs>
    </w:pPr>
  </w:style>
  <w:style w:type="paragraph" w:styleId="740">
    <w:name w:val="toc 1"/>
    <w:basedOn w:val="711"/>
    <w:next w:val="711"/>
    <w:uiPriority w:val="39"/>
    <w:unhideWhenUsed/>
    <w:qFormat/>
    <w:pPr>
      <w:spacing w:after="57"/>
    </w:pPr>
  </w:style>
  <w:style w:type="paragraph" w:styleId="741">
    <w:name w:val="toc 4"/>
    <w:basedOn w:val="711"/>
    <w:next w:val="711"/>
    <w:uiPriority w:val="39"/>
    <w:unhideWhenUsed/>
    <w:qFormat/>
    <w:pPr>
      <w:ind w:left="850"/>
      <w:spacing w:after="57"/>
    </w:pPr>
  </w:style>
  <w:style w:type="paragraph" w:styleId="742">
    <w:name w:val="index heading"/>
    <w:basedOn w:val="711"/>
    <w:next w:val="743"/>
    <w:uiPriority w:val="99"/>
    <w:unhideWhenUsed/>
    <w:qFormat/>
    <w:rPr>
      <w:rFonts w:ascii="Cambria" w:hAnsi="Cambria"/>
      <w:b/>
      <w:bCs/>
    </w:rPr>
  </w:style>
  <w:style w:type="paragraph" w:styleId="743">
    <w:name w:val="index 1"/>
    <w:basedOn w:val="711"/>
    <w:next w:val="711"/>
    <w:qFormat/>
    <w:pPr>
      <w:jc w:val="center"/>
      <w:spacing w:line="220" w:lineRule="exact"/>
    </w:pPr>
    <w:rPr>
      <w:rFonts w:ascii="仿宋_GB2312" w:eastAsia="仿宋_GB2312"/>
      <w:szCs w:val="20"/>
    </w:rPr>
  </w:style>
  <w:style w:type="paragraph" w:styleId="744">
    <w:name w:val="Subtitle"/>
    <w:basedOn w:val="711"/>
    <w:next w:val="711"/>
    <w:link w:val="823"/>
    <w:uiPriority w:val="11"/>
    <w:qFormat/>
    <w:pPr>
      <w:spacing w:before="200" w:after="200"/>
    </w:pPr>
    <w:rPr>
      <w:sz w:val="24"/>
      <w:szCs w:val="24"/>
    </w:rPr>
  </w:style>
  <w:style w:type="paragraph" w:styleId="745">
    <w:name w:val="footnote text"/>
    <w:basedOn w:val="711"/>
    <w:link w:val="937"/>
    <w:uiPriority w:val="99"/>
    <w:semiHidden/>
    <w:unhideWhenUsed/>
    <w:qFormat/>
    <w:pPr>
      <w:spacing w:after="40"/>
    </w:pPr>
    <w:rPr>
      <w:sz w:val="18"/>
    </w:rPr>
  </w:style>
  <w:style w:type="paragraph" w:styleId="746">
    <w:name w:val="toc 6"/>
    <w:basedOn w:val="711"/>
    <w:next w:val="711"/>
    <w:uiPriority w:val="39"/>
    <w:unhideWhenUsed/>
    <w:qFormat/>
    <w:pPr>
      <w:ind w:left="1417"/>
      <w:spacing w:after="57"/>
    </w:pPr>
  </w:style>
  <w:style w:type="paragraph" w:styleId="747">
    <w:name w:val="table of figures"/>
    <w:basedOn w:val="711"/>
    <w:next w:val="711"/>
    <w:uiPriority w:val="99"/>
    <w:unhideWhenUsed/>
    <w:qFormat/>
  </w:style>
  <w:style w:type="paragraph" w:styleId="748">
    <w:name w:val="toc 2"/>
    <w:basedOn w:val="711"/>
    <w:next w:val="711"/>
    <w:uiPriority w:val="39"/>
    <w:unhideWhenUsed/>
    <w:qFormat/>
    <w:pPr>
      <w:ind w:left="283"/>
      <w:spacing w:after="57"/>
    </w:pPr>
  </w:style>
  <w:style w:type="paragraph" w:styleId="749">
    <w:name w:val="toc 9"/>
    <w:basedOn w:val="711"/>
    <w:next w:val="711"/>
    <w:uiPriority w:val="39"/>
    <w:unhideWhenUsed/>
    <w:qFormat/>
    <w:pPr>
      <w:ind w:left="2268"/>
      <w:spacing w:after="57"/>
    </w:pPr>
  </w:style>
  <w:style w:type="paragraph" w:styleId="750">
    <w:name w:val="Normal (Web)"/>
    <w:basedOn w:val="711"/>
    <w:uiPriority w:val="99"/>
    <w:semiHidden/>
    <w:unhideWhenUsed/>
    <w:qFormat/>
    <w:pPr>
      <w:jc w:val="left"/>
      <w:spacing w:beforeAutospacing="1" w:afterAutospacing="1"/>
    </w:pPr>
    <w:rPr>
      <w:sz w:val="24"/>
    </w:rPr>
  </w:style>
  <w:style w:type="paragraph" w:styleId="751">
    <w:name w:val="Title"/>
    <w:basedOn w:val="711"/>
    <w:next w:val="711"/>
    <w:link w:val="822"/>
    <w:uiPriority w:val="10"/>
    <w:qFormat/>
    <w:pPr>
      <w:contextualSpacing/>
      <w:spacing w:before="300" w:after="200"/>
    </w:pPr>
    <w:rPr>
      <w:sz w:val="48"/>
      <w:szCs w:val="48"/>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basedOn w:val="721"/>
    <w:uiPriority w:val="22"/>
    <w:qFormat/>
    <w:rPr>
      <w:b/>
    </w:r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rPr>
  </w:style>
  <w:style w:type="character" w:styleId="756">
    <w:name w:val="footnote reference"/>
    <w:uiPriority w:val="99"/>
    <w:unhideWhenUsed/>
    <w:qFormat/>
    <w:rPr>
      <w:vertAlign w:val="superscript"/>
    </w:rPr>
  </w:style>
  <w:style w:type="paragraph" w:styleId="757" w:customStyle="1">
    <w:name w:val="_Style 2"/>
    <w:basedOn w:val="711"/>
    <w:uiPriority w:val="34"/>
    <w:qFormat/>
    <w:pPr>
      <w:ind w:firstLine="420"/>
      <w:jc w:val="left"/>
      <w:widowControl/>
    </w:pPr>
    <w:rPr>
      <w:sz w:val="20"/>
      <w:szCs w:val="20"/>
    </w:rPr>
  </w:style>
  <w:style w:type="paragraph" w:styleId="758" w:customStyle="1">
    <w:name w:val="索引 41"/>
    <w:basedOn w:val="711"/>
    <w:next w:val="711"/>
    <w:semiHidden/>
    <w:qFormat/>
    <w:pPr>
      <w:ind w:left="1260"/>
    </w:pPr>
    <w:rPr>
      <w:rFonts w:ascii="Calibri" w:hAnsi="Calibri" w:eastAsia="Calibri" w:cs="宋体"/>
      <w:sz w:val="20"/>
      <w:lang w:val="zh-CN"/>
    </w:rPr>
  </w:style>
  <w:style w:type="paragraph" w:styleId="759" w:customStyle="1">
    <w:name w:val="列出段落"/>
    <w:basedOn w:val="711"/>
    <w:uiPriority w:val="34"/>
    <w:qFormat/>
    <w:pPr>
      <w:ind w:firstLine="420"/>
      <w:jc w:val="left"/>
      <w:widowControl/>
    </w:pPr>
    <w:rPr>
      <w:sz w:val="20"/>
      <w:szCs w:val="20"/>
    </w:rPr>
  </w:style>
  <w:style w:type="character" w:styleId="760" w:customStyle="1">
    <w:name w:val="Heading 1 Char"/>
    <w:basedOn w:val="721"/>
    <w:uiPriority w:val="9"/>
    <w:qFormat/>
    <w:rPr>
      <w:rFonts w:ascii="Arial" w:hAnsi="Arial" w:eastAsia="Arial" w:cs="Arial"/>
      <w:sz w:val="40"/>
      <w:szCs w:val="40"/>
    </w:rPr>
  </w:style>
  <w:style w:type="character" w:styleId="761" w:customStyle="1">
    <w:name w:val="Heading 2 Char"/>
    <w:basedOn w:val="721"/>
    <w:uiPriority w:val="9"/>
    <w:qFormat/>
    <w:rPr>
      <w:rFonts w:ascii="Arial" w:hAnsi="Arial" w:eastAsia="Arial" w:cs="Arial"/>
      <w:sz w:val="34"/>
    </w:rPr>
  </w:style>
  <w:style w:type="character" w:styleId="762" w:customStyle="1">
    <w:name w:val="Heading 3 Char"/>
    <w:basedOn w:val="721"/>
    <w:uiPriority w:val="9"/>
    <w:qFormat/>
    <w:rPr>
      <w:rFonts w:ascii="Arial" w:hAnsi="Arial" w:eastAsia="Arial" w:cs="Arial"/>
      <w:sz w:val="30"/>
      <w:szCs w:val="30"/>
    </w:rPr>
  </w:style>
  <w:style w:type="character" w:styleId="763" w:customStyle="1">
    <w:name w:val="Heading 4 Char"/>
    <w:basedOn w:val="721"/>
    <w:uiPriority w:val="9"/>
    <w:qFormat/>
    <w:rPr>
      <w:rFonts w:ascii="Arial" w:hAnsi="Arial" w:eastAsia="Arial" w:cs="Arial"/>
      <w:b/>
      <w:bCs/>
      <w:sz w:val="26"/>
      <w:szCs w:val="26"/>
    </w:rPr>
  </w:style>
  <w:style w:type="character" w:styleId="764" w:customStyle="1">
    <w:name w:val="Heading 5 Char"/>
    <w:basedOn w:val="721"/>
    <w:uiPriority w:val="9"/>
    <w:qFormat/>
    <w:rPr>
      <w:rFonts w:ascii="Arial" w:hAnsi="Arial" w:eastAsia="Arial" w:cs="Arial"/>
      <w:b/>
      <w:bCs/>
      <w:sz w:val="24"/>
      <w:szCs w:val="24"/>
    </w:rPr>
  </w:style>
  <w:style w:type="character" w:styleId="765" w:customStyle="1">
    <w:name w:val="Heading 6 Char"/>
    <w:basedOn w:val="721"/>
    <w:uiPriority w:val="9"/>
    <w:qFormat/>
    <w:rPr>
      <w:rFonts w:ascii="Arial" w:hAnsi="Arial" w:eastAsia="Arial" w:cs="Arial"/>
      <w:b/>
      <w:bCs/>
      <w:sz w:val="22"/>
      <w:szCs w:val="22"/>
    </w:rPr>
  </w:style>
  <w:style w:type="character" w:styleId="766" w:customStyle="1">
    <w:name w:val="Heading 7 Char"/>
    <w:basedOn w:val="721"/>
    <w:uiPriority w:val="9"/>
    <w:qFormat/>
    <w:rPr>
      <w:rFonts w:ascii="Arial" w:hAnsi="Arial" w:eastAsia="Arial" w:cs="Arial"/>
      <w:b/>
      <w:bCs/>
      <w:i/>
      <w:iCs/>
      <w:sz w:val="22"/>
      <w:szCs w:val="22"/>
    </w:rPr>
  </w:style>
  <w:style w:type="character" w:styleId="767" w:customStyle="1">
    <w:name w:val="Heading 8 Char"/>
    <w:basedOn w:val="721"/>
    <w:uiPriority w:val="9"/>
    <w:qFormat/>
    <w:rPr>
      <w:rFonts w:ascii="Arial" w:hAnsi="Arial" w:eastAsia="Arial" w:cs="Arial"/>
      <w:i/>
      <w:iCs/>
      <w:sz w:val="22"/>
      <w:szCs w:val="22"/>
    </w:rPr>
  </w:style>
  <w:style w:type="character" w:styleId="768" w:customStyle="1">
    <w:name w:val="Heading 9 Char"/>
    <w:basedOn w:val="721"/>
    <w:uiPriority w:val="9"/>
    <w:qFormat/>
    <w:rPr>
      <w:rFonts w:ascii="Arial" w:hAnsi="Arial" w:eastAsia="Arial" w:cs="Arial"/>
      <w:i/>
      <w:iCs/>
      <w:sz w:val="21"/>
      <w:szCs w:val="21"/>
    </w:rPr>
  </w:style>
  <w:style w:type="character" w:styleId="769" w:customStyle="1">
    <w:name w:val="Title Char"/>
    <w:basedOn w:val="721"/>
    <w:uiPriority w:val="10"/>
    <w:qFormat/>
    <w:rPr>
      <w:sz w:val="48"/>
      <w:szCs w:val="48"/>
    </w:rPr>
  </w:style>
  <w:style w:type="character" w:styleId="770" w:customStyle="1">
    <w:name w:val="Subtitle Char"/>
    <w:basedOn w:val="721"/>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21"/>
    <w:uiPriority w:val="99"/>
    <w:qFormat/>
  </w:style>
  <w:style w:type="character" w:styleId="774" w:customStyle="1">
    <w:name w:val="Caption Char"/>
    <w:uiPriority w:val="99"/>
    <w:qFormat/>
  </w:style>
  <w:style w:type="table" w:styleId="775" w:customStyle="1">
    <w:name w:val="无格式表格 11"/>
    <w:basedOn w:val="72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2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2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2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2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2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2" w:customStyle="1">
    <w:name w:val="网格表 31"/>
    <w:basedOn w:val="72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72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网格表 6 彩色1"/>
    <w:basedOn w:val="72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6" w:customStyle="1">
    <w:name w:val="网格表 7 彩色1"/>
    <w:basedOn w:val="72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7" w:customStyle="1">
    <w:name w:val="清单表 1 浅色1"/>
    <w:basedOn w:val="722"/>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清单表 21"/>
    <w:basedOn w:val="72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9"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5 深色1"/>
    <w:basedOn w:val="72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2" w:customStyle="1">
    <w:name w:val="清单表 6 彩色1"/>
    <w:basedOn w:val="722"/>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3" w:customStyle="1">
    <w:name w:val="清单表 7 彩色1"/>
    <w:basedOn w:val="722"/>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style>
  <w:style w:type="paragraph" w:styleId="797" w:customStyle="1">
    <w:name w:val="列出段落1"/>
    <w:basedOn w:val="711"/>
    <w:link w:val="1007"/>
    <w:qFormat/>
    <w:pPr>
      <w:contextualSpacing/>
      <w:ind w:left="720"/>
      <w:jc w:val="left"/>
      <w:widowControl/>
    </w:pPr>
    <w:rPr>
      <w:rFonts w:ascii="Calibri" w:hAnsi="Calibri"/>
      <w:sz w:val="24"/>
      <w:szCs w:val="24"/>
      <w:lang w:eastAsia="en-US" w:bidi="en-US"/>
    </w:rPr>
  </w:style>
  <w:style w:type="paragraph" w:styleId="798" w:customStyle="1">
    <w:name w:val="正文文本缩进1"/>
    <w:basedOn w:val="711"/>
    <w:next w:val="799"/>
    <w:link w:val="962"/>
    <w:unhideWhenUsed/>
    <w:qFormat/>
    <w:pPr>
      <w:ind w:left="420"/>
      <w:spacing w:after="120"/>
    </w:pPr>
  </w:style>
  <w:style w:type="paragraph" w:styleId="799" w:customStyle="1">
    <w:name w:val="正文首行缩进 21"/>
    <w:basedOn w:val="798"/>
    <w:link w:val="997"/>
    <w:qFormat/>
    <w:pPr>
      <w:ind w:left="0" w:firstLine="420"/>
      <w:spacing w:after="0" w:line="360" w:lineRule="auto"/>
    </w:pPr>
    <w:rPr>
      <w:rFonts w:ascii="宋体" w:hAnsi="宋体"/>
      <w:szCs w:val="20"/>
    </w:rPr>
  </w:style>
  <w:style w:type="character" w:styleId="800" w:customStyle="1">
    <w:name w:val="标题 3 Char"/>
    <w:link w:val="801"/>
    <w:qFormat/>
    <w:rPr>
      <w:rFonts w:ascii="Times New Roman" w:hAnsi="Times New Roman" w:eastAsia="宋体" w:cs="Times New Roman"/>
      <w:b/>
      <w:bCs/>
      <w:sz w:val="32"/>
      <w:szCs w:val="32"/>
    </w:rPr>
  </w:style>
  <w:style w:type="paragraph" w:styleId="801" w:customStyle="1">
    <w:name w:val="标题 31"/>
    <w:basedOn w:val="711"/>
    <w:next w:val="802"/>
    <w:link w:val="800"/>
    <w:qFormat/>
    <w:pPr>
      <w:keepLines/>
      <w:keepNext/>
      <w:spacing w:before="260" w:after="260" w:line="416" w:lineRule="auto"/>
      <w:outlineLvl w:val="2"/>
    </w:pPr>
    <w:rPr>
      <w:b/>
      <w:bCs/>
      <w:sz w:val="32"/>
      <w:szCs w:val="32"/>
    </w:rPr>
  </w:style>
  <w:style w:type="paragraph" w:styleId="802" w:customStyle="1">
    <w:name w:val="正文缩进1"/>
    <w:basedOn w:val="711"/>
    <w:link w:val="946"/>
    <w:qFormat/>
    <w:pPr>
      <w:ind w:firstLine="420"/>
    </w:pPr>
    <w:rPr>
      <w:szCs w:val="21"/>
    </w:rPr>
  </w:style>
  <w:style w:type="character" w:styleId="803" w:customStyle="1">
    <w:name w:val="标题 2 Char"/>
    <w:link w:val="804"/>
    <w:qFormat/>
    <w:rPr>
      <w:rFonts w:ascii="Arial" w:hAnsi="Arial" w:eastAsia="幼圆" w:cs="Arial"/>
      <w:b/>
      <w:bCs/>
      <w:sz w:val="44"/>
      <w:szCs w:val="44"/>
    </w:rPr>
  </w:style>
  <w:style w:type="paragraph" w:styleId="804" w:customStyle="1">
    <w:name w:val="标题 21"/>
    <w:basedOn w:val="711"/>
    <w:next w:val="802"/>
    <w:link w:val="803"/>
    <w:qFormat/>
    <w:pPr>
      <w:jc w:val="center"/>
      <w:keepLines/>
      <w:keepNext/>
      <w:spacing w:before="260" w:after="260" w:line="416" w:lineRule="auto"/>
      <w:outlineLvl w:val="1"/>
    </w:pPr>
    <w:rPr>
      <w:rFonts w:ascii="Arial" w:hAnsi="Arial" w:eastAsia="幼圆" w:cs="Arial"/>
      <w:b/>
      <w:bCs/>
      <w:sz w:val="44"/>
      <w:szCs w:val="44"/>
    </w:rPr>
  </w:style>
  <w:style w:type="character" w:styleId="805" w:customStyle="1">
    <w:name w:val="标题 1 Char"/>
    <w:link w:val="806"/>
    <w:qFormat/>
    <w:rPr>
      <w:rFonts w:ascii="楷体_GB2312" w:hAnsi="Times New Roman" w:eastAsia="楷体_GB2312" w:cs="Times New Roman"/>
      <w:sz w:val="28"/>
      <w:szCs w:val="28"/>
    </w:rPr>
  </w:style>
  <w:style w:type="paragraph" w:styleId="806" w:customStyle="1">
    <w:name w:val="标题 11"/>
    <w:basedOn w:val="711"/>
    <w:next w:val="711"/>
    <w:link w:val="805"/>
    <w:qFormat/>
    <w:pPr>
      <w:jc w:val="center"/>
      <w:keepNext/>
      <w:outlineLvl w:val="0"/>
    </w:pPr>
    <w:rPr>
      <w:rFonts w:ascii="楷体_GB2312" w:eastAsia="楷体_GB2312"/>
      <w:sz w:val="28"/>
      <w:szCs w:val="28"/>
    </w:rPr>
  </w:style>
  <w:style w:type="character" w:styleId="807" w:customStyle="1">
    <w:name w:val="标题 4 Char"/>
    <w:link w:val="808"/>
    <w:qFormat/>
    <w:rPr>
      <w:rFonts w:ascii="Arial" w:hAnsi="Arial" w:eastAsia="黑体" w:cs="Arial"/>
      <w:b/>
      <w:bCs/>
      <w:sz w:val="28"/>
      <w:szCs w:val="28"/>
    </w:rPr>
  </w:style>
  <w:style w:type="paragraph" w:styleId="808" w:customStyle="1">
    <w:name w:val="标题 41"/>
    <w:basedOn w:val="711"/>
    <w:next w:val="802"/>
    <w:link w:val="807"/>
    <w:qFormat/>
    <w:pPr>
      <w:keepLines/>
      <w:keepNext/>
      <w:spacing w:before="280" w:after="290" w:line="376" w:lineRule="auto"/>
      <w:outlineLvl w:val="3"/>
    </w:pPr>
    <w:rPr>
      <w:rFonts w:ascii="Arial" w:hAnsi="Arial" w:eastAsia="黑体" w:cs="Arial"/>
      <w:b/>
      <w:bCs/>
      <w:sz w:val="28"/>
      <w:szCs w:val="28"/>
    </w:rPr>
  </w:style>
  <w:style w:type="character" w:styleId="809" w:customStyle="1">
    <w:name w:val="font41"/>
    <w:basedOn w:val="721"/>
    <w:qFormat/>
    <w:rPr>
      <w:rFonts w:hint="eastAsia" w:ascii="仿宋" w:hAnsi="仿宋" w:eastAsia="仿宋" w:cs="仿宋"/>
      <w:color w:val="000000"/>
      <w:sz w:val="24"/>
      <w:szCs w:val="24"/>
      <w:u w:val="none"/>
    </w:rPr>
  </w:style>
  <w:style w:type="character" w:styleId="810" w:customStyle="1">
    <w:name w:val="默认段落字体1"/>
    <w:uiPriority w:val="1"/>
    <w:unhideWhenUsed/>
    <w:qFormat/>
  </w:style>
  <w:style w:type="character" w:styleId="811" w:customStyle="1">
    <w:name w:val="标题 1 字符"/>
    <w:link w:val="712"/>
    <w:uiPriority w:val="9"/>
    <w:qFormat/>
    <w:rPr>
      <w:rFonts w:ascii="Arial" w:hAnsi="Arial" w:eastAsia="Arial" w:cs="Arial"/>
      <w:sz w:val="40"/>
      <w:szCs w:val="40"/>
    </w:rPr>
  </w:style>
  <w:style w:type="character" w:styleId="812" w:customStyle="1">
    <w:name w:val="标题 2 字符"/>
    <w:link w:val="713"/>
    <w:uiPriority w:val="9"/>
    <w:qFormat/>
    <w:rPr>
      <w:rFonts w:ascii="Arial" w:hAnsi="Arial" w:eastAsia="Arial" w:cs="Arial"/>
      <w:sz w:val="34"/>
    </w:rPr>
  </w:style>
  <w:style w:type="character" w:styleId="813" w:customStyle="1">
    <w:name w:val="标题 3 字符"/>
    <w:link w:val="714"/>
    <w:uiPriority w:val="9"/>
    <w:qFormat/>
    <w:rPr>
      <w:rFonts w:ascii="Arial" w:hAnsi="Arial" w:eastAsia="Arial" w:cs="Arial"/>
      <w:sz w:val="30"/>
      <w:szCs w:val="30"/>
    </w:rPr>
  </w:style>
  <w:style w:type="character" w:styleId="814" w:customStyle="1">
    <w:name w:val="标题 4 字符"/>
    <w:link w:val="715"/>
    <w:uiPriority w:val="9"/>
    <w:qFormat/>
    <w:rPr>
      <w:rFonts w:ascii="Arial" w:hAnsi="Arial" w:eastAsia="Arial" w:cs="Arial"/>
      <w:b/>
      <w:bCs/>
      <w:sz w:val="26"/>
      <w:szCs w:val="26"/>
    </w:rPr>
  </w:style>
  <w:style w:type="character" w:styleId="815" w:customStyle="1">
    <w:name w:val="标题 5 字符"/>
    <w:link w:val="716"/>
    <w:uiPriority w:val="9"/>
    <w:qFormat/>
    <w:rPr>
      <w:rFonts w:ascii="Arial" w:hAnsi="Arial" w:eastAsia="Arial" w:cs="Arial"/>
      <w:b/>
      <w:bCs/>
      <w:sz w:val="24"/>
      <w:szCs w:val="24"/>
    </w:rPr>
  </w:style>
  <w:style w:type="character" w:styleId="816" w:customStyle="1">
    <w:name w:val="标题 6 字符"/>
    <w:link w:val="717"/>
    <w:uiPriority w:val="9"/>
    <w:qFormat/>
    <w:rPr>
      <w:rFonts w:ascii="Arial" w:hAnsi="Arial" w:eastAsia="Arial" w:cs="Arial"/>
      <w:b/>
      <w:bCs/>
      <w:sz w:val="22"/>
      <w:szCs w:val="22"/>
    </w:rPr>
  </w:style>
  <w:style w:type="character" w:styleId="817" w:customStyle="1">
    <w:name w:val="标题 7 字符"/>
    <w:link w:val="718"/>
    <w:uiPriority w:val="9"/>
    <w:qFormat/>
    <w:rPr>
      <w:rFonts w:ascii="Arial" w:hAnsi="Arial" w:eastAsia="Arial" w:cs="Arial"/>
      <w:b/>
      <w:bCs/>
      <w:i/>
      <w:iCs/>
      <w:sz w:val="22"/>
      <w:szCs w:val="22"/>
    </w:rPr>
  </w:style>
  <w:style w:type="character" w:styleId="818" w:customStyle="1">
    <w:name w:val="标题 8 字符"/>
    <w:link w:val="719"/>
    <w:uiPriority w:val="9"/>
    <w:qFormat/>
    <w:rPr>
      <w:rFonts w:ascii="Arial" w:hAnsi="Arial" w:eastAsia="Arial" w:cs="Arial"/>
      <w:i/>
      <w:iCs/>
      <w:sz w:val="22"/>
      <w:szCs w:val="22"/>
    </w:rPr>
  </w:style>
  <w:style w:type="character" w:styleId="819" w:customStyle="1">
    <w:name w:val="标题 9 字符"/>
    <w:link w:val="720"/>
    <w:uiPriority w:val="9"/>
    <w:qFormat/>
    <w:rPr>
      <w:rFonts w:ascii="Arial" w:hAnsi="Arial" w:eastAsia="Arial" w:cs="Arial"/>
      <w:i/>
      <w:iCs/>
      <w:sz w:val="21"/>
      <w:szCs w:val="21"/>
    </w:rPr>
  </w:style>
  <w:style w:type="paragraph" w:styleId="820">
    <w:name w:val="List Paragraph"/>
    <w:basedOn w:val="711"/>
    <w:uiPriority w:val="34"/>
    <w:qFormat/>
    <w:pPr>
      <w:contextualSpacing/>
      <w:ind w:left="720"/>
    </w:pPr>
  </w:style>
  <w:style w:type="paragraph" w:styleId="821">
    <w:name w:val="No Spacing"/>
    <w:uiPriority w:val="1"/>
    <w:qFormat/>
  </w:style>
  <w:style w:type="character" w:styleId="822" w:customStyle="1">
    <w:name w:val="标题 字符"/>
    <w:link w:val="751"/>
    <w:uiPriority w:val="10"/>
    <w:qFormat/>
    <w:rPr>
      <w:sz w:val="48"/>
      <w:szCs w:val="48"/>
    </w:rPr>
  </w:style>
  <w:style w:type="character" w:styleId="823" w:customStyle="1">
    <w:name w:val="副标题 字符"/>
    <w:link w:val="744"/>
    <w:uiPriority w:val="11"/>
    <w:qFormat/>
    <w:rPr>
      <w:sz w:val="24"/>
      <w:szCs w:val="24"/>
    </w:rPr>
  </w:style>
  <w:style w:type="paragraph" w:styleId="824">
    <w:name w:val="Quote"/>
    <w:basedOn w:val="711"/>
    <w:next w:val="711"/>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11"/>
    <w:next w:val="711"/>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character" w:styleId="828" w:customStyle="1">
    <w:name w:val="页眉 字符"/>
    <w:link w:val="739"/>
    <w:uiPriority w:val="99"/>
    <w:qFormat/>
  </w:style>
  <w:style w:type="character" w:styleId="829" w:customStyle="1">
    <w:name w:val="Footer Char"/>
    <w:uiPriority w:val="99"/>
    <w:qFormat/>
  </w:style>
  <w:style w:type="character" w:styleId="830" w:customStyle="1">
    <w:name w:val="页脚 字符"/>
    <w:link w:val="738"/>
    <w:uiPriority w:val="99"/>
    <w:qFormat/>
  </w:style>
  <w:style w:type="table" w:styleId="83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45"/>
    <w:uiPriority w:val="99"/>
    <w:qFormat/>
    <w:rPr>
      <w:sz w:val="18"/>
    </w:rPr>
  </w:style>
  <w:style w:type="character" w:styleId="938" w:customStyle="1">
    <w:name w:val="尾注文本 字符"/>
    <w:link w:val="737"/>
    <w:uiPriority w:val="99"/>
    <w:qFormat/>
    <w:rPr>
      <w:sz w:val="20"/>
    </w:rPr>
  </w:style>
  <w:style w:type="paragraph" w:styleId="939" w:customStyle="1">
    <w:name w:val="TOC 标题11"/>
    <w:uiPriority w:val="39"/>
    <w:unhideWhenUsed/>
    <w:qFormat/>
  </w:style>
  <w:style w:type="paragraph" w:styleId="940" w:customStyle="1">
    <w:name w:val="标题 51"/>
    <w:basedOn w:val="711"/>
    <w:next w:val="802"/>
    <w:link w:val="947"/>
    <w:qFormat/>
    <w:pPr>
      <w:keepNext/>
      <w:outlineLvl w:val="4"/>
    </w:pPr>
    <w:rPr>
      <w:rFonts w:ascii="宋体"/>
      <w:color w:val="000000"/>
      <w:sz w:val="28"/>
      <w:szCs w:val="28"/>
    </w:rPr>
  </w:style>
  <w:style w:type="paragraph" w:styleId="941" w:customStyle="1">
    <w:name w:val="标题 61"/>
    <w:basedOn w:val="711"/>
    <w:next w:val="711"/>
    <w:link w:val="948"/>
    <w:qFormat/>
    <w:pPr>
      <w:numPr>
        <w:ilvl w:val="5"/>
        <w:numId w:val="1"/>
      </w:numPr>
      <w:keepLines/>
      <w:keepNext/>
      <w:spacing w:before="240" w:after="64" w:line="320" w:lineRule="auto"/>
      <w:outlineLvl w:val="5"/>
    </w:pPr>
    <w:rPr>
      <w:rFonts w:ascii="Arial" w:hAnsi="Arial" w:eastAsia="黑体"/>
      <w:b/>
      <w:bCs/>
      <w:sz w:val="24"/>
      <w:szCs w:val="24"/>
    </w:rPr>
  </w:style>
  <w:style w:type="paragraph" w:styleId="942" w:customStyle="1">
    <w:name w:val="标题 71"/>
    <w:basedOn w:val="711"/>
    <w:next w:val="711"/>
    <w:link w:val="949"/>
    <w:qFormat/>
    <w:pPr>
      <w:numPr>
        <w:ilvl w:val="6"/>
        <w:numId w:val="1"/>
      </w:numPr>
      <w:keepLines/>
      <w:keepNext/>
      <w:spacing w:before="240" w:after="64" w:line="320" w:lineRule="auto"/>
      <w:outlineLvl w:val="6"/>
    </w:pPr>
    <w:rPr>
      <w:b/>
      <w:bCs/>
      <w:sz w:val="24"/>
      <w:szCs w:val="24"/>
    </w:rPr>
  </w:style>
  <w:style w:type="paragraph" w:styleId="943" w:customStyle="1">
    <w:name w:val="标题 81"/>
    <w:basedOn w:val="711"/>
    <w:next w:val="711"/>
    <w:link w:val="950"/>
    <w:qFormat/>
    <w:pPr>
      <w:numPr>
        <w:ilvl w:val="7"/>
        <w:numId w:val="1"/>
      </w:numPr>
      <w:keepLines/>
      <w:keepNext/>
      <w:spacing w:before="240" w:after="64" w:line="320" w:lineRule="auto"/>
      <w:outlineLvl w:val="7"/>
    </w:pPr>
    <w:rPr>
      <w:rFonts w:ascii="Arial" w:hAnsi="Arial" w:eastAsia="黑体"/>
      <w:sz w:val="24"/>
      <w:szCs w:val="24"/>
    </w:rPr>
  </w:style>
  <w:style w:type="paragraph" w:styleId="944" w:customStyle="1">
    <w:name w:val="标题 91"/>
    <w:basedOn w:val="711"/>
    <w:next w:val="711"/>
    <w:link w:val="951"/>
    <w:qFormat/>
    <w:pPr>
      <w:numPr>
        <w:ilvl w:val="8"/>
        <w:numId w:val="1"/>
      </w:numPr>
      <w:keepLines/>
      <w:keepNext/>
      <w:spacing w:before="240" w:after="64" w:line="320" w:lineRule="auto"/>
      <w:outlineLvl w:val="8"/>
    </w:pPr>
    <w:rPr>
      <w:rFonts w:ascii="Arial" w:hAnsi="Arial" w:eastAsia="黑体"/>
      <w:szCs w:val="21"/>
    </w:rPr>
  </w:style>
  <w:style w:type="table" w:styleId="945" w:customStyle="1">
    <w:name w:val="普通表格11"/>
    <w:uiPriority w:val="99"/>
    <w:unhideWhenUsed/>
    <w:qFormat/>
    <w:tblPr>
      <w:tblCellMar>
        <w:left w:w="0" w:type="dxa"/>
        <w:top w:w="0" w:type="dxa"/>
        <w:right w:w="0" w:type="dxa"/>
        <w:bottom w:w="0" w:type="dxa"/>
      </w:tblCellMar>
    </w:tblPr>
  </w:style>
  <w:style w:type="character" w:styleId="946" w:customStyle="1">
    <w:name w:val="正文缩进 Char"/>
    <w:link w:val="802"/>
    <w:qFormat/>
    <w:rPr>
      <w:szCs w:val="21"/>
    </w:rPr>
  </w:style>
  <w:style w:type="character" w:styleId="947" w:customStyle="1">
    <w:name w:val="标题 5 Char"/>
    <w:link w:val="940"/>
    <w:qFormat/>
    <w:rPr>
      <w:rFonts w:ascii="宋体" w:hAnsi="Times New Roman" w:eastAsia="宋体" w:cs="Times New Roman"/>
      <w:color w:val="000000"/>
      <w:sz w:val="28"/>
      <w:szCs w:val="28"/>
    </w:rPr>
  </w:style>
  <w:style w:type="character" w:styleId="948" w:customStyle="1">
    <w:name w:val="标题 6 Char"/>
    <w:link w:val="941"/>
    <w:qFormat/>
    <w:rPr>
      <w:rFonts w:ascii="Arial" w:hAnsi="Arial" w:eastAsia="黑体" w:cs="Times New Roman"/>
      <w:b/>
      <w:bCs/>
      <w:sz w:val="24"/>
      <w:szCs w:val="24"/>
    </w:rPr>
  </w:style>
  <w:style w:type="character" w:styleId="949" w:customStyle="1">
    <w:name w:val="标题 7 Char"/>
    <w:link w:val="942"/>
    <w:qFormat/>
    <w:rPr>
      <w:rFonts w:ascii="Times New Roman" w:hAnsi="Times New Roman" w:eastAsia="宋体" w:cs="Times New Roman"/>
      <w:b/>
      <w:bCs/>
      <w:sz w:val="24"/>
      <w:szCs w:val="24"/>
    </w:rPr>
  </w:style>
  <w:style w:type="character" w:styleId="950" w:customStyle="1">
    <w:name w:val="标题 8 Char"/>
    <w:link w:val="943"/>
    <w:qFormat/>
    <w:rPr>
      <w:rFonts w:ascii="Arial" w:hAnsi="Arial" w:eastAsia="黑体" w:cs="Times New Roman"/>
      <w:sz w:val="24"/>
      <w:szCs w:val="24"/>
    </w:rPr>
  </w:style>
  <w:style w:type="character" w:styleId="951" w:customStyle="1">
    <w:name w:val="标题 9 Char"/>
    <w:link w:val="944"/>
    <w:qFormat/>
    <w:rPr>
      <w:rFonts w:ascii="Arial" w:hAnsi="Arial" w:eastAsia="黑体" w:cs="Times New Roman"/>
      <w:szCs w:val="21"/>
    </w:rPr>
  </w:style>
  <w:style w:type="paragraph" w:styleId="952" w:customStyle="1">
    <w:name w:val="列表 31"/>
    <w:basedOn w:val="711"/>
    <w:qFormat/>
    <w:pPr>
      <w:ind w:left="100" w:hanging="200"/>
    </w:pPr>
    <w:rPr>
      <w:szCs w:val="21"/>
    </w:rPr>
  </w:style>
  <w:style w:type="paragraph" w:styleId="953" w:customStyle="1">
    <w:name w:val="目录 71"/>
    <w:basedOn w:val="711"/>
    <w:next w:val="711"/>
    <w:semiHidden/>
    <w:qFormat/>
    <w:pPr>
      <w:ind w:left="1260"/>
      <w:jc w:val="left"/>
    </w:pPr>
    <w:rPr>
      <w:szCs w:val="21"/>
    </w:rPr>
  </w:style>
  <w:style w:type="paragraph" w:styleId="954" w:customStyle="1">
    <w:name w:val="文档结构图1"/>
    <w:basedOn w:val="711"/>
    <w:link w:val="955"/>
    <w:semiHidden/>
    <w:qFormat/>
    <w:pPr>
      <w:shd w:val="clear" w:color="auto" w:fill="000080"/>
    </w:pPr>
    <w:rPr>
      <w:szCs w:val="21"/>
    </w:rPr>
  </w:style>
  <w:style w:type="character" w:styleId="955" w:customStyle="1">
    <w:name w:val="文档结构图 Char"/>
    <w:link w:val="954"/>
    <w:semiHidden/>
    <w:qFormat/>
    <w:rPr>
      <w:rFonts w:ascii="Times New Roman" w:hAnsi="Times New Roman" w:eastAsia="宋体" w:cs="Times New Roman"/>
      <w:szCs w:val="21"/>
      <w:shd w:val="clear" w:color="auto" w:fill="000080"/>
    </w:rPr>
  </w:style>
  <w:style w:type="paragraph" w:styleId="956" w:customStyle="1">
    <w:name w:val="批注文字1"/>
    <w:basedOn w:val="711"/>
    <w:link w:val="957"/>
    <w:unhideWhenUsed/>
    <w:qFormat/>
    <w:pPr>
      <w:jc w:val="left"/>
    </w:pPr>
  </w:style>
  <w:style w:type="character" w:styleId="957" w:customStyle="1">
    <w:name w:val="批注文字 Char"/>
    <w:basedOn w:val="810"/>
    <w:link w:val="956"/>
    <w:uiPriority w:val="99"/>
    <w:semiHidden/>
    <w:qFormat/>
  </w:style>
  <w:style w:type="paragraph" w:styleId="958" w:customStyle="1">
    <w:name w:val="正文文本 31"/>
    <w:basedOn w:val="711"/>
    <w:link w:val="959"/>
    <w:qFormat/>
    <w:rPr>
      <w:rFonts w:ascii="仿宋_GB2312" w:hAnsi="Arial" w:eastAsia="仿宋_GB2312"/>
      <w:sz w:val="32"/>
      <w:szCs w:val="32"/>
    </w:rPr>
  </w:style>
  <w:style w:type="character" w:styleId="959" w:customStyle="1">
    <w:name w:val="正文文本 3 Char"/>
    <w:link w:val="958"/>
    <w:qFormat/>
    <w:rPr>
      <w:rFonts w:ascii="仿宋_GB2312" w:hAnsi="Arial" w:eastAsia="仿宋_GB2312" w:cs="Times New Roman"/>
      <w:sz w:val="32"/>
      <w:szCs w:val="32"/>
    </w:rPr>
  </w:style>
  <w:style w:type="paragraph" w:styleId="960" w:customStyle="1">
    <w:name w:val="正文文本11"/>
    <w:basedOn w:val="711"/>
    <w:link w:val="961"/>
    <w:qFormat/>
    <w:rPr>
      <w:rFonts w:ascii="楷体_GB2312" w:hAnsi="Arial" w:eastAsia="楷体_GB2312"/>
      <w:sz w:val="28"/>
      <w:szCs w:val="28"/>
    </w:rPr>
  </w:style>
  <w:style w:type="character" w:styleId="961" w:customStyle="1">
    <w:name w:val="正文文本 Char"/>
    <w:link w:val="960"/>
    <w:qFormat/>
    <w:rPr>
      <w:rFonts w:ascii="楷体_GB2312" w:hAnsi="Arial" w:eastAsia="楷体_GB2312" w:cs="Times New Roman"/>
      <w:sz w:val="28"/>
      <w:szCs w:val="28"/>
    </w:rPr>
  </w:style>
  <w:style w:type="character" w:styleId="962" w:customStyle="1">
    <w:name w:val="正文文本缩进 Char"/>
    <w:basedOn w:val="810"/>
    <w:link w:val="798"/>
    <w:uiPriority w:val="99"/>
    <w:semiHidden/>
    <w:qFormat/>
  </w:style>
  <w:style w:type="paragraph" w:styleId="963" w:customStyle="1">
    <w:name w:val="列表 21"/>
    <w:basedOn w:val="711"/>
    <w:qFormat/>
    <w:pPr>
      <w:ind w:left="100" w:hanging="200"/>
    </w:pPr>
    <w:rPr>
      <w:szCs w:val="21"/>
    </w:rPr>
  </w:style>
  <w:style w:type="paragraph" w:styleId="964" w:customStyle="1">
    <w:name w:val="索引 42"/>
    <w:basedOn w:val="711"/>
    <w:next w:val="711"/>
    <w:semiHidden/>
    <w:qFormat/>
    <w:pPr>
      <w:ind w:left="1260"/>
    </w:pPr>
    <w:rPr>
      <w:rFonts w:ascii="Calibri" w:hAnsi="Calibri" w:eastAsia="Calibri" w:cs="宋体"/>
      <w:sz w:val="20"/>
      <w:lang w:val="zh-CN"/>
    </w:rPr>
  </w:style>
  <w:style w:type="paragraph" w:styleId="965" w:customStyle="1">
    <w:name w:val="目录 51"/>
    <w:basedOn w:val="711"/>
    <w:next w:val="711"/>
    <w:semiHidden/>
    <w:qFormat/>
    <w:pPr>
      <w:ind w:left="840"/>
      <w:jc w:val="left"/>
    </w:pPr>
    <w:rPr>
      <w:szCs w:val="21"/>
    </w:rPr>
  </w:style>
  <w:style w:type="paragraph" w:styleId="966" w:customStyle="1">
    <w:name w:val="目录 31"/>
    <w:basedOn w:val="711"/>
    <w:next w:val="711"/>
    <w:semiHidden/>
    <w:qFormat/>
    <w:pPr>
      <w:ind w:left="420"/>
      <w:jc w:val="left"/>
    </w:pPr>
    <w:rPr>
      <w:i/>
      <w:iCs/>
      <w:szCs w:val="24"/>
    </w:rPr>
  </w:style>
  <w:style w:type="paragraph" w:styleId="967" w:customStyle="1">
    <w:name w:val="纯文本1"/>
    <w:basedOn w:val="711"/>
    <w:link w:val="968"/>
    <w:qFormat/>
    <w:rPr>
      <w:rFonts w:ascii="宋体" w:hAnsi="Courier New" w:cs="Courier New"/>
      <w:szCs w:val="21"/>
    </w:rPr>
  </w:style>
  <w:style w:type="character" w:styleId="968" w:customStyle="1">
    <w:name w:val="纯文本 Char"/>
    <w:link w:val="967"/>
    <w:qFormat/>
    <w:rPr>
      <w:rFonts w:ascii="宋体" w:hAnsi="Courier New" w:eastAsia="宋体" w:cs="Courier New"/>
      <w:szCs w:val="21"/>
    </w:rPr>
  </w:style>
  <w:style w:type="paragraph" w:styleId="969" w:customStyle="1">
    <w:name w:val="目录 81"/>
    <w:basedOn w:val="711"/>
    <w:next w:val="711"/>
    <w:semiHidden/>
    <w:qFormat/>
    <w:pPr>
      <w:ind w:left="1470"/>
      <w:jc w:val="left"/>
    </w:pPr>
    <w:rPr>
      <w:szCs w:val="21"/>
    </w:rPr>
  </w:style>
  <w:style w:type="paragraph" w:styleId="970" w:customStyle="1">
    <w:name w:val="日期1"/>
    <w:basedOn w:val="711"/>
    <w:next w:val="711"/>
    <w:link w:val="971"/>
    <w:qFormat/>
    <w:rPr>
      <w:sz w:val="24"/>
      <w:szCs w:val="24"/>
    </w:rPr>
  </w:style>
  <w:style w:type="character" w:styleId="971" w:customStyle="1">
    <w:name w:val="日期 Char"/>
    <w:link w:val="970"/>
    <w:qFormat/>
    <w:rPr>
      <w:rFonts w:ascii="Times New Roman" w:hAnsi="Times New Roman" w:eastAsia="宋体" w:cs="Times New Roman"/>
      <w:sz w:val="24"/>
      <w:szCs w:val="24"/>
    </w:rPr>
  </w:style>
  <w:style w:type="paragraph" w:styleId="972" w:customStyle="1">
    <w:name w:val="正文文本缩进 21"/>
    <w:basedOn w:val="711"/>
    <w:link w:val="973"/>
    <w:qFormat/>
    <w:pPr>
      <w:ind w:left="630" w:firstLine="645"/>
    </w:pPr>
    <w:rPr>
      <w:rFonts w:ascii="Arial" w:hAnsi="Arial" w:eastAsia="仿宋_GB2312" w:cs="Arial"/>
      <w:sz w:val="32"/>
      <w:szCs w:val="32"/>
    </w:rPr>
  </w:style>
  <w:style w:type="character" w:styleId="973" w:customStyle="1">
    <w:name w:val="正文文本缩进 2 Char"/>
    <w:link w:val="972"/>
    <w:qFormat/>
    <w:rPr>
      <w:rFonts w:ascii="Arial" w:hAnsi="Arial" w:eastAsia="仿宋_GB2312" w:cs="Arial"/>
      <w:sz w:val="32"/>
      <w:szCs w:val="32"/>
    </w:rPr>
  </w:style>
  <w:style w:type="paragraph" w:styleId="974" w:customStyle="1">
    <w:name w:val="批注框文本1"/>
    <w:basedOn w:val="711"/>
    <w:link w:val="975"/>
    <w:semiHidden/>
    <w:qFormat/>
    <w:rPr>
      <w:sz w:val="18"/>
      <w:szCs w:val="18"/>
    </w:rPr>
  </w:style>
  <w:style w:type="character" w:styleId="975" w:customStyle="1">
    <w:name w:val="批注框文本 Char"/>
    <w:link w:val="974"/>
    <w:semiHidden/>
    <w:qFormat/>
    <w:rPr>
      <w:rFonts w:ascii="Times New Roman" w:hAnsi="Times New Roman" w:eastAsia="宋体" w:cs="Times New Roman"/>
      <w:sz w:val="18"/>
      <w:szCs w:val="18"/>
    </w:rPr>
  </w:style>
  <w:style w:type="paragraph" w:styleId="976" w:customStyle="1">
    <w:name w:val="页脚1"/>
    <w:basedOn w:val="711"/>
    <w:link w:val="977"/>
    <w:qFormat/>
    <w:pPr>
      <w:jc w:val="left"/>
      <w:tabs>
        <w:tab w:val="center" w:pos="4153" w:leader="none"/>
        <w:tab w:val="right" w:pos="8306" w:leader="none"/>
      </w:tabs>
    </w:pPr>
    <w:rPr>
      <w:sz w:val="18"/>
      <w:szCs w:val="18"/>
    </w:rPr>
  </w:style>
  <w:style w:type="character" w:styleId="977" w:customStyle="1">
    <w:name w:val="页脚 Char"/>
    <w:link w:val="976"/>
    <w:qFormat/>
    <w:rPr>
      <w:rFonts w:ascii="Times New Roman" w:hAnsi="Times New Roman" w:eastAsia="宋体" w:cs="Times New Roman"/>
      <w:sz w:val="18"/>
      <w:szCs w:val="18"/>
    </w:rPr>
  </w:style>
  <w:style w:type="paragraph" w:styleId="978" w:customStyle="1">
    <w:name w:val="页眉1"/>
    <w:basedOn w:val="711"/>
    <w:link w:val="979"/>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Char"/>
    <w:link w:val="978"/>
    <w:qFormat/>
    <w:rPr>
      <w:rFonts w:ascii="Times New Roman" w:hAnsi="Times New Roman" w:eastAsia="宋体" w:cs="Times New Roman"/>
      <w:sz w:val="18"/>
      <w:szCs w:val="18"/>
    </w:rPr>
  </w:style>
  <w:style w:type="paragraph" w:styleId="980" w:customStyle="1">
    <w:name w:val="目录 11"/>
    <w:basedOn w:val="711"/>
    <w:next w:val="711"/>
    <w:semiHidden/>
    <w:qFormat/>
    <w:pPr>
      <w:jc w:val="left"/>
      <w:spacing w:before="120" w:after="120" w:line="400" w:lineRule="exact"/>
      <w:tabs>
        <w:tab w:val="right" w:pos="8720" w:leader="dot"/>
      </w:tabs>
    </w:pPr>
    <w:rPr>
      <w:rFonts w:ascii="宋体" w:hAnsi="宋体"/>
      <w:caps/>
      <w:sz w:val="24"/>
      <w:szCs w:val="24"/>
    </w:rPr>
  </w:style>
  <w:style w:type="paragraph" w:styleId="981" w:customStyle="1">
    <w:name w:val="目录 41"/>
    <w:basedOn w:val="711"/>
    <w:next w:val="711"/>
    <w:semiHidden/>
    <w:qFormat/>
    <w:pPr>
      <w:ind w:left="630"/>
      <w:jc w:val="left"/>
    </w:pPr>
    <w:rPr>
      <w:szCs w:val="21"/>
    </w:rPr>
  </w:style>
  <w:style w:type="paragraph" w:styleId="982" w:customStyle="1">
    <w:name w:val="列表1"/>
    <w:basedOn w:val="711"/>
    <w:qFormat/>
    <w:pPr>
      <w:ind w:left="200" w:hanging="200"/>
    </w:pPr>
    <w:rPr>
      <w:szCs w:val="21"/>
    </w:rPr>
  </w:style>
  <w:style w:type="paragraph" w:styleId="983" w:customStyle="1">
    <w:name w:val="目录 61"/>
    <w:basedOn w:val="711"/>
    <w:next w:val="711"/>
    <w:semiHidden/>
    <w:qFormat/>
    <w:pPr>
      <w:ind w:left="1050"/>
      <w:jc w:val="left"/>
    </w:pPr>
    <w:rPr>
      <w:szCs w:val="21"/>
    </w:rPr>
  </w:style>
  <w:style w:type="paragraph" w:styleId="984" w:customStyle="1">
    <w:name w:val="正文文本缩进 31"/>
    <w:basedOn w:val="711"/>
    <w:link w:val="985"/>
    <w:qFormat/>
    <w:pPr>
      <w:ind w:left="645" w:firstLine="645"/>
    </w:pPr>
    <w:rPr>
      <w:rFonts w:ascii="Arial" w:hAnsi="Arial" w:eastAsia="仿宋_GB2312" w:cs="Arial"/>
      <w:color w:val="ffff00"/>
      <w:sz w:val="32"/>
      <w:szCs w:val="32"/>
    </w:rPr>
  </w:style>
  <w:style w:type="character" w:styleId="985" w:customStyle="1">
    <w:name w:val="正文文本缩进 3 Char"/>
    <w:link w:val="984"/>
    <w:qFormat/>
    <w:rPr>
      <w:rFonts w:ascii="Arial" w:hAnsi="Arial" w:eastAsia="仿宋_GB2312" w:cs="Arial"/>
      <w:color w:val="ffff00"/>
      <w:sz w:val="32"/>
      <w:szCs w:val="32"/>
    </w:rPr>
  </w:style>
  <w:style w:type="paragraph" w:styleId="986" w:customStyle="1">
    <w:name w:val="图表目录1"/>
    <w:basedOn w:val="711"/>
    <w:next w:val="711"/>
    <w:semiHidden/>
    <w:qFormat/>
    <w:pPr>
      <w:ind w:left="840" w:hanging="420"/>
    </w:pPr>
    <w:rPr>
      <w:szCs w:val="21"/>
    </w:rPr>
  </w:style>
  <w:style w:type="paragraph" w:styleId="987" w:customStyle="1">
    <w:name w:val="目录 21"/>
    <w:basedOn w:val="711"/>
    <w:next w:val="711"/>
    <w:semiHidden/>
    <w:qFormat/>
    <w:pPr>
      <w:ind w:left="210"/>
      <w:jc w:val="left"/>
    </w:pPr>
    <w:rPr>
      <w:smallCaps/>
      <w:szCs w:val="24"/>
    </w:rPr>
  </w:style>
  <w:style w:type="paragraph" w:styleId="988" w:customStyle="1">
    <w:name w:val="目录 91"/>
    <w:basedOn w:val="711"/>
    <w:next w:val="711"/>
    <w:semiHidden/>
    <w:qFormat/>
    <w:pPr>
      <w:ind w:left="1680"/>
      <w:jc w:val="left"/>
    </w:pPr>
    <w:rPr>
      <w:szCs w:val="21"/>
    </w:rPr>
  </w:style>
  <w:style w:type="paragraph" w:styleId="989" w:customStyle="1">
    <w:name w:val="正文文本 21"/>
    <w:basedOn w:val="711"/>
    <w:link w:val="990"/>
    <w:qFormat/>
    <w:pPr>
      <w:jc w:val="center"/>
      <w:widowControl/>
    </w:pPr>
    <w:rPr>
      <w:rFonts w:ascii="楷体_GB2312" w:eastAsia="楷体_GB2312"/>
      <w:sz w:val="28"/>
      <w:szCs w:val="28"/>
    </w:rPr>
  </w:style>
  <w:style w:type="character" w:styleId="990" w:customStyle="1">
    <w:name w:val="正文文本 2 Char"/>
    <w:link w:val="989"/>
    <w:qFormat/>
    <w:rPr>
      <w:rFonts w:ascii="楷体_GB2312" w:hAnsi="Times New Roman" w:eastAsia="楷体_GB2312" w:cs="Times New Roman"/>
      <w:sz w:val="28"/>
      <w:szCs w:val="28"/>
    </w:rPr>
  </w:style>
  <w:style w:type="paragraph" w:styleId="991" w:customStyle="1">
    <w:name w:val="普通(网站)1"/>
    <w:basedOn w:val="711"/>
    <w:uiPriority w:val="99"/>
    <w:qFormat/>
    <w:pPr>
      <w:jc w:val="left"/>
      <w:spacing w:before="100" w:beforeAutospacing="1" w:after="100" w:afterAutospacing="1"/>
      <w:widowControl/>
    </w:pPr>
    <w:rPr>
      <w:rFonts w:ascii="宋体" w:hAnsi="宋体" w:cs="宋体"/>
      <w:sz w:val="24"/>
      <w:szCs w:val="24"/>
    </w:rPr>
  </w:style>
  <w:style w:type="paragraph" w:styleId="992" w:customStyle="1">
    <w:name w:val="索引 11"/>
    <w:basedOn w:val="711"/>
    <w:next w:val="711"/>
    <w:semiHidden/>
    <w:qFormat/>
    <w:pPr>
      <w:spacing w:line="240" w:lineRule="atLeast"/>
    </w:pPr>
    <w:rPr>
      <w:b/>
      <w:bCs/>
      <w:szCs w:val="21"/>
    </w:rPr>
  </w:style>
  <w:style w:type="paragraph" w:styleId="993" w:customStyle="1">
    <w:name w:val="批注主题1"/>
    <w:basedOn w:val="956"/>
    <w:next w:val="956"/>
    <w:link w:val="994"/>
    <w:semiHidden/>
    <w:qFormat/>
    <w:rPr>
      <w:b/>
      <w:bCs/>
      <w:szCs w:val="21"/>
    </w:rPr>
  </w:style>
  <w:style w:type="character" w:styleId="994" w:customStyle="1">
    <w:name w:val="批注主题 Char"/>
    <w:link w:val="993"/>
    <w:semiHidden/>
    <w:qFormat/>
    <w:rPr>
      <w:rFonts w:ascii="Times New Roman" w:hAnsi="Times New Roman" w:eastAsia="宋体" w:cs="Times New Roman"/>
      <w:b/>
      <w:bCs/>
      <w:szCs w:val="21"/>
    </w:rPr>
  </w:style>
  <w:style w:type="paragraph" w:styleId="995" w:customStyle="1">
    <w:name w:val="正文首行缩进1"/>
    <w:basedOn w:val="711"/>
    <w:link w:val="996"/>
    <w:qFormat/>
    <w:pPr>
      <w:ind w:firstLine="200"/>
      <w:spacing w:line="360" w:lineRule="auto"/>
    </w:pPr>
    <w:rPr>
      <w:rFonts w:ascii="仿宋_GB2312" w:eastAsia="仿宋_GB2312"/>
      <w:sz w:val="30"/>
      <w:szCs w:val="30"/>
    </w:rPr>
  </w:style>
  <w:style w:type="character" w:styleId="996" w:customStyle="1">
    <w:name w:val="正文首行缩进 Char"/>
    <w:link w:val="995"/>
    <w:qFormat/>
    <w:rPr>
      <w:rFonts w:ascii="仿宋_GB2312" w:hAnsi="Times New Roman" w:eastAsia="仿宋_GB2312" w:cs="Times New Roman"/>
      <w:sz w:val="30"/>
      <w:szCs w:val="30"/>
    </w:rPr>
  </w:style>
  <w:style w:type="character" w:styleId="997" w:customStyle="1">
    <w:name w:val="正文首行缩进 2 Char"/>
    <w:link w:val="799"/>
    <w:qFormat/>
    <w:rPr>
      <w:rFonts w:ascii="宋体" w:hAnsi="宋体" w:eastAsia="宋体" w:cs="Times New Roman"/>
      <w:szCs w:val="20"/>
    </w:rPr>
  </w:style>
  <w:style w:type="table" w:styleId="998" w:customStyle="1">
    <w:name w:val="网格型11"/>
    <w:basedOn w:val="945"/>
    <w:qFormat/>
    <w:pPr>
      <w:jc w:val="both"/>
      <w:widowControl w:val="off"/>
    </w:pPr>
    <w:tblPr/>
  </w:style>
  <w:style w:type="character" w:styleId="999" w:customStyle="1">
    <w:name w:val="要点1"/>
    <w:qFormat/>
    <w:rPr>
      <w:b/>
      <w:bCs/>
    </w:rPr>
  </w:style>
  <w:style w:type="character" w:styleId="1000" w:customStyle="1">
    <w:name w:val="页码1"/>
    <w:qFormat/>
  </w:style>
  <w:style w:type="character" w:styleId="1001" w:customStyle="1">
    <w:name w:val="已访问的超链接1"/>
    <w:qFormat/>
    <w:rPr>
      <w:color w:val="800080"/>
      <w:u w:val="single"/>
    </w:rPr>
  </w:style>
  <w:style w:type="character" w:styleId="1002" w:customStyle="1">
    <w:name w:val="超链接1"/>
    <w:qFormat/>
    <w:rPr>
      <w:color w:val="0000ff"/>
      <w:u w:val="single"/>
    </w:rPr>
  </w:style>
  <w:style w:type="character" w:styleId="1003" w:customStyle="1">
    <w:name w:val="批注引用1"/>
    <w:semiHidden/>
    <w:qFormat/>
    <w:rPr>
      <w:sz w:val="21"/>
      <w:szCs w:val="21"/>
    </w:rPr>
  </w:style>
  <w:style w:type="character" w:styleId="1004" w:customStyle="1">
    <w:name w:val="font5 Char"/>
    <w:qFormat/>
    <w:rPr>
      <w:rFonts w:ascii="宋体" w:hAnsi="宋体" w:eastAsia="宋体"/>
      <w:sz w:val="28"/>
      <w:szCs w:val="28"/>
      <w:lang w:val="en-US" w:eastAsia="zh-CN" w:bidi="ar-SA"/>
    </w:rPr>
  </w:style>
  <w:style w:type="character" w:styleId="1005" w:customStyle="1">
    <w:name w:val="二级目录 Char"/>
    <w:link w:val="1006"/>
    <w:qFormat/>
    <w:rPr>
      <w:b/>
      <w:sz w:val="30"/>
      <w:szCs w:val="28"/>
    </w:rPr>
  </w:style>
  <w:style w:type="paragraph" w:styleId="1006" w:customStyle="1">
    <w:name w:val="二级目录"/>
    <w:next w:val="711"/>
    <w:link w:val="1005"/>
    <w:qFormat/>
    <w:pPr>
      <w:ind w:left="907" w:hanging="907"/>
      <w:tabs>
        <w:tab w:val="left" w:pos="907" w:leader="none"/>
        <w:tab w:val="left" w:pos="1145" w:leader="none"/>
      </w:tabs>
      <w:outlineLvl w:val="1"/>
    </w:pPr>
    <w:rPr>
      <w:b/>
      <w:sz w:val="30"/>
      <w:szCs w:val="28"/>
    </w:rPr>
  </w:style>
  <w:style w:type="character" w:styleId="1007" w:customStyle="1">
    <w:name w:val="列出段落 Char"/>
    <w:link w:val="797"/>
    <w:qFormat/>
    <w:rPr>
      <w:rFonts w:ascii="Calibri" w:hAnsi="Calibri"/>
      <w:sz w:val="24"/>
      <w:szCs w:val="24"/>
      <w:lang w:eastAsia="en-US" w:bidi="en-US"/>
    </w:rPr>
  </w:style>
  <w:style w:type="paragraph" w:styleId="1008" w:customStyle="1">
    <w:name w:val="Body Text(ch)"/>
    <w:basedOn w:val="711"/>
    <w:next w:val="960"/>
    <w:qFormat/>
    <w:pPr>
      <w:spacing w:after="120"/>
    </w:pPr>
    <w:rPr>
      <w:rFonts w:ascii="宋体" w:hAnsi="Arial"/>
      <w:bCs/>
      <w:iCs/>
      <w:szCs w:val="24"/>
    </w:rPr>
  </w:style>
  <w:style w:type="paragraph" w:styleId="1009" w:customStyle="1">
    <w:name w:val="xl27"/>
    <w:basedOn w:val="7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6"/>
    <w:basedOn w:val="7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711"/>
    <w:qFormat/>
    <w:pPr>
      <w:ind w:firstLine="200"/>
      <w:tabs>
        <w:tab w:val="left" w:pos="360" w:leader="none"/>
      </w:tabs>
    </w:pPr>
    <w:rPr>
      <w:sz w:val="28"/>
      <w:szCs w:val="30"/>
    </w:rPr>
  </w:style>
  <w:style w:type="paragraph" w:styleId="1012" w:customStyle="1">
    <w:name w:val="Char1"/>
    <w:basedOn w:val="954"/>
    <w:qFormat/>
    <w:rPr>
      <w:rFonts w:ascii="Tahoma" w:hAnsi="Tahoma"/>
      <w:sz w:val="24"/>
      <w:szCs w:val="24"/>
    </w:rPr>
  </w:style>
  <w:style w:type="paragraph" w:styleId="1013" w:customStyle="1">
    <w:name w:val="普通正文"/>
    <w:basedOn w:val="711"/>
    <w:qFormat/>
    <w:pPr>
      <w:ind w:firstLine="480"/>
      <w:jc w:val="left"/>
      <w:spacing w:before="120" w:after="120" w:line="360" w:lineRule="auto"/>
    </w:pPr>
    <w:rPr>
      <w:rFonts w:ascii="Arial" w:hAnsi="Arial"/>
      <w:sz w:val="24"/>
      <w:szCs w:val="24"/>
    </w:rPr>
  </w:style>
  <w:style w:type="paragraph" w:styleId="1014" w:customStyle="1">
    <w:name w:val="table_lines"/>
    <w:basedOn w:val="711"/>
    <w:qFormat/>
    <w:pPr>
      <w:jc w:val="left"/>
      <w:widowControl/>
    </w:pPr>
    <w:rPr>
      <w:sz w:val="20"/>
      <w:szCs w:val="20"/>
      <w:lang w:val="de-DE" w:eastAsia="de-DE"/>
    </w:rPr>
  </w:style>
  <w:style w:type="paragraph" w:styleId="1015" w:customStyle="1">
    <w:name w:val="附录1"/>
    <w:qFormat/>
    <w:pPr>
      <w:numPr>
        <w:numId w:val="2"/>
      </w:numPr>
      <w:spacing w:before="240" w:line="600" w:lineRule="atLeast"/>
    </w:pPr>
    <w:rPr>
      <w:b/>
      <w:i/>
      <w:sz w:val="28"/>
    </w:rPr>
  </w:style>
  <w:style w:type="paragraph" w:styleId="1016" w:customStyle="1">
    <w:name w:val="font7"/>
    <w:basedOn w:val="711"/>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954"/>
    <w:qFormat/>
    <w:pPr>
      <w:spacing w:line="360" w:lineRule="auto"/>
    </w:pPr>
    <w:rPr>
      <w:rFonts w:ascii="Tahoma" w:hAnsi="Tahoma"/>
      <w:sz w:val="24"/>
      <w:szCs w:val="24"/>
    </w:rPr>
  </w:style>
  <w:style w:type="paragraph" w:styleId="1018" w:customStyle="1">
    <w:name w:val="列出段落2"/>
    <w:basedOn w:val="711"/>
    <w:qFormat/>
    <w:pPr>
      <w:contextualSpacing/>
      <w:ind w:left="720"/>
      <w:jc w:val="left"/>
      <w:widowControl/>
    </w:pPr>
    <w:rPr>
      <w:rFonts w:ascii="Calibri" w:hAnsi="Calibri"/>
      <w:sz w:val="24"/>
      <w:szCs w:val="24"/>
      <w:lang w:eastAsia="en-US" w:bidi="en-US"/>
    </w:rPr>
  </w:style>
  <w:style w:type="paragraph" w:styleId="1019" w:customStyle="1">
    <w:name w:val="4"/>
    <w:basedOn w:val="711"/>
    <w:next w:val="984"/>
    <w:qFormat/>
    <w:pPr>
      <w:ind w:firstLine="420"/>
      <w:spacing w:line="360" w:lineRule="auto"/>
    </w:pPr>
    <w:rPr>
      <w:color w:val="ff0000"/>
      <w:sz w:val="24"/>
      <w:szCs w:val="24"/>
    </w:rPr>
  </w:style>
  <w:style w:type="paragraph" w:styleId="1020" w:customStyle="1">
    <w:name w:val="普通 (Web)"/>
    <w:basedOn w:val="711"/>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711"/>
    <w:qFormat/>
    <w:pPr>
      <w:spacing w:line="360" w:lineRule="auto"/>
    </w:pPr>
    <w:rPr>
      <w:sz w:val="24"/>
      <w:szCs w:val="20"/>
    </w:rPr>
  </w:style>
  <w:style w:type="paragraph" w:styleId="1022" w:customStyle="1">
    <w:name w:val="样式1"/>
    <w:basedOn w:val="711"/>
    <w:qFormat/>
    <w:pPr>
      <w:numPr>
        <w:numId w:val="3"/>
      </w:numPr>
    </w:pPr>
    <w:rPr>
      <w:rFonts w:ascii="宋体" w:hAnsi="宋体"/>
      <w:szCs w:val="21"/>
    </w:rPr>
  </w:style>
  <w:style w:type="paragraph" w:styleId="1023" w:customStyle="1">
    <w:name w:val="font6"/>
    <w:basedOn w:val="711"/>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1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11"/>
    <w:next w:val="71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11"/>
    <w:next w:val="711"/>
    <w:qFormat/>
    <w:pPr>
      <w:ind w:firstLine="624"/>
      <w:spacing w:line="590" w:lineRule="atLeast"/>
    </w:pPr>
    <w:rPr>
      <w:rFonts w:ascii="方正黑体_GBK" w:eastAsia="方正黑体_GBK"/>
      <w:sz w:val="32"/>
      <w:szCs w:val="32"/>
    </w:rPr>
  </w:style>
  <w:style w:type="paragraph" w:styleId="1027" w:customStyle="1">
    <w:name w:val="xl24"/>
    <w:basedOn w:val="7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71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711"/>
    <w:qFormat/>
    <w:pPr>
      <w:jc w:val="left"/>
      <w:spacing w:after="160" w:line="240" w:lineRule="exact"/>
      <w:widowControl/>
    </w:pPr>
    <w:rPr>
      <w:rFonts w:ascii="Verdana" w:hAnsi="Verdana"/>
      <w:sz w:val="20"/>
      <w:szCs w:val="20"/>
      <w:lang w:eastAsia="en-US"/>
    </w:rPr>
  </w:style>
  <w:style w:type="paragraph" w:styleId="1030" w:customStyle="1">
    <w:name w:val="xl28"/>
    <w:basedOn w:val="71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Char Char Char Char Char Char Char Char1"/>
    <w:basedOn w:val="711"/>
    <w:qFormat/>
    <w:pPr>
      <w:jc w:val="left"/>
      <w:spacing w:after="160" w:line="240" w:lineRule="exact"/>
      <w:widowControl/>
    </w:pPr>
    <w:rPr>
      <w:rFonts w:ascii="Verdana" w:hAnsi="Verdana"/>
      <w:sz w:val="20"/>
      <w:szCs w:val="20"/>
      <w:lang w:eastAsia="en-US"/>
    </w:rPr>
  </w:style>
  <w:style w:type="paragraph" w:styleId="1032" w:customStyle="1">
    <w:name w:val="xl30"/>
    <w:basedOn w:val="711"/>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954"/>
    <w:qFormat/>
    <w:pPr>
      <w:spacing w:line="360" w:lineRule="auto"/>
    </w:pPr>
    <w:rPr>
      <w:rFonts w:ascii="Tahoma" w:hAnsi="Tahoma"/>
      <w:sz w:val="24"/>
      <w:szCs w:val="24"/>
    </w:rPr>
  </w:style>
  <w:style w:type="paragraph" w:styleId="1034" w:customStyle="1">
    <w:name w:val="table_1stline"/>
    <w:basedOn w:val="711"/>
    <w:qFormat/>
    <w:pPr>
      <w:jc w:val="left"/>
      <w:spacing w:before="120"/>
      <w:widowControl/>
    </w:pPr>
    <w:rPr>
      <w:bCs/>
      <w:sz w:val="20"/>
      <w:szCs w:val="20"/>
      <w:lang w:val="de-DE" w:eastAsia="de-DE"/>
    </w:rPr>
  </w:style>
  <w:style w:type="paragraph" w:styleId="1035" w:customStyle="1">
    <w:name w:val="font5"/>
    <w:basedOn w:val="711"/>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11"/>
    <w:next w:val="71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1"/>
    <w:uiPriority w:val="99"/>
    <w:semiHidden/>
    <w:qFormat/>
    <w:rPr>
      <w:sz w:val="21"/>
      <w:szCs w:val="21"/>
    </w:rPr>
  </w:style>
  <w:style w:type="paragraph" w:styleId="1038" w:customStyle="1">
    <w:name w:val="无间隔1"/>
    <w:uiPriority w:val="99"/>
    <w:qFormat/>
    <w:pPr>
      <w:jc w:val="both"/>
      <w:widowControl w:val="off"/>
    </w:pPr>
    <w:rPr>
      <w:sz w:val="21"/>
      <w:szCs w:val="21"/>
    </w:rPr>
  </w:style>
  <w:style w:type="table" w:styleId="1039" w:customStyle="1">
    <w:name w:val="Table Normal"/>
    <w:qFormat/>
    <w:tblPr>
      <w:tblCellMar>
        <w:left w:w="0" w:type="dxa"/>
        <w:top w:w="0" w:type="dxa"/>
        <w:right w:w="0" w:type="dxa"/>
        <w:bottom w:w="0" w:type="dxa"/>
      </w:tblCellMar>
    </w:tblPr>
  </w:style>
  <w:style w:type="paragraph" w:styleId="1040" w:customStyle="1">
    <w:name w:val="正文文本 211"/>
    <w:basedOn w:val="711"/>
    <w:uiPriority w:val="99"/>
    <w:qFormat/>
    <w:pPr>
      <w:jc w:val="center"/>
    </w:pPr>
    <w:rPr>
      <w:b/>
      <w:bCs/>
      <w:sz w:val="20"/>
      <w:szCs w:val="20"/>
    </w:rPr>
  </w:style>
  <w:style w:type="paragraph" w:styleId="1041" w:customStyle="1">
    <w:name w:val="正文文本1"/>
    <w:basedOn w:val="711"/>
    <w:next w:val="711"/>
    <w:semiHidden/>
    <w:qFormat/>
    <w:rPr>
      <w:rFonts w:ascii="Arial" w:hAnsi="Arial" w:eastAsia="Arial" w:cs="Arial"/>
      <w:szCs w:val="21"/>
      <w:lang w:eastAsia="en-US"/>
    </w:rPr>
  </w:style>
  <w:style w:type="paragraph" w:styleId="1042" w:customStyle="1">
    <w:name w:val="正文文本12"/>
    <w:basedOn w:val="711"/>
    <w:uiPriority w:val="1"/>
    <w:qFormat/>
    <w:pPr>
      <w:ind w:left="120"/>
    </w:pPr>
    <w:rPr>
      <w:rFonts w:ascii="宋体" w:hAnsi="宋体" w:cs="宋体"/>
      <w:szCs w:val="21"/>
      <w:lang w:val="zh-CN" w:bidi="zh-CN"/>
    </w:rPr>
  </w:style>
  <w:style w:type="paragraph" w:styleId="1043" w:customStyle="1">
    <w:name w:val="Table Text"/>
    <w:basedOn w:val="711"/>
    <w:semiHidden/>
    <w:qFormat/>
    <w:rPr>
      <w:rFonts w:ascii="宋体" w:hAnsi="宋体" w:cs="宋体"/>
      <w:szCs w:val="21"/>
      <w:lang w:eastAsia="en-US"/>
    </w:rPr>
  </w:style>
  <w:style w:type="table" w:styleId="1044" w:customStyle="1">
    <w:name w:val="网格型1"/>
    <w:basedOn w:val="1045"/>
    <w:qFormat/>
    <w:pPr>
      <w:jc w:val="both"/>
      <w:widowControl w:val="off"/>
    </w:pPr>
    <w:tblPr/>
  </w:style>
  <w:style w:type="table" w:styleId="1045" w:customStyle="1">
    <w:name w:val="普通表格1"/>
    <w:uiPriority w:val="99"/>
    <w:unhideWhenUsed/>
    <w:qFormat/>
    <w:tblPr>
      <w:tblCellMar>
        <w:left w:w="0" w:type="dxa"/>
        <w:top w:w="0" w:type="dxa"/>
        <w:right w:w="0" w:type="dxa"/>
        <w:bottom w:w="0" w:type="dxa"/>
      </w:tblCellMar>
    </w:tblPr>
  </w:style>
  <w:style w:type="character" w:styleId="1046" w:customStyle="1">
    <w:name w:val="font31"/>
    <w:basedOn w:val="810"/>
    <w:qFormat/>
    <w:rPr>
      <w:rFonts w:hint="eastAsia" w:ascii="宋体" w:hAnsi="宋体" w:eastAsia="宋体" w:cs="宋体"/>
      <w:b/>
      <w:bCs/>
      <w:color w:val="000000"/>
      <w:sz w:val="21"/>
      <w:szCs w:val="21"/>
      <w:u w:val="none"/>
    </w:rPr>
  </w:style>
  <w:style w:type="character" w:styleId="1047" w:customStyle="1">
    <w:name w:val="font21"/>
    <w:basedOn w:val="810"/>
    <w:qFormat/>
    <w:rPr>
      <w:rFonts w:hint="eastAsia" w:ascii="宋体" w:hAnsi="宋体" w:eastAsia="宋体" w:cs="宋体"/>
      <w:b/>
      <w:bCs/>
      <w:color w:val="000000"/>
      <w:sz w:val="21"/>
      <w:szCs w:val="21"/>
      <w:u w:val="single"/>
    </w:rPr>
  </w:style>
  <w:style w:type="paragraph" w:styleId="1048" w:customStyle="1">
    <w:name w:val="Table Paragraph"/>
    <w:basedOn w:val="711"/>
    <w:uiPriority w:val="1"/>
    <w:qFormat/>
  </w:style>
  <w:style w:type="paragraph" w:styleId="1049" w:customStyle="1">
    <w:name w:val="Default"/>
    <w:qFormat/>
    <w:pPr>
      <w:widowControl w:val="off"/>
    </w:pPr>
    <w:rPr>
      <w:rFonts w:ascii="宋体" w:cs="宋体"/>
      <w:color w:val="000000"/>
      <w:sz w:val="24"/>
      <w:szCs w:val="24"/>
    </w:rPr>
  </w:style>
  <w:style w:type="character" w:styleId="1050" w:customStyle="1">
    <w:name w:val="font71"/>
    <w:basedOn w:val="810"/>
    <w:qFormat/>
    <w:rPr>
      <w:rFonts w:ascii="Times New Roman" w:hAnsi="Times New Roman" w:eastAsia="宋体" w:cs="Times New Roman"/>
      <w:sz w:val="21"/>
      <w:szCs w:val="22"/>
      <w:lang w:val="en-US" w:eastAsia="zh-CN" w:bidi="ar-SA"/>
    </w:rPr>
  </w:style>
  <w:style w:type="paragraph" w:styleId="1051" w:customStyle="1">
    <w:name w:val="正文1"/>
    <w:next w:val="711"/>
    <w:qFormat/>
    <w:pPr>
      <w:jc w:val="both"/>
      <w:widowControl w:val="off"/>
    </w:pPr>
    <w:rPr>
      <w:sz w:val="21"/>
      <w:szCs w:val="21"/>
    </w:rPr>
  </w:style>
  <w:style w:type="character" w:styleId="1052" w:customStyle="1">
    <w:name w:val="font51"/>
    <w:basedOn w:val="721"/>
    <w:qFormat/>
    <w:rPr>
      <w:rFonts w:hint="default" w:ascii="方正仿宋_GBK" w:hAnsi="方正仿宋_GBK" w:eastAsia="方正仿宋_GBK" w:cs="方正仿宋_GBK"/>
      <w:color w:val="000000"/>
      <w:sz w:val="22"/>
      <w:szCs w:val="22"/>
      <w:u w:val="none"/>
    </w:rPr>
  </w:style>
  <w:style w:type="character" w:styleId="1053" w:customStyle="1">
    <w:name w:val="font01"/>
    <w:basedOn w:val="721"/>
    <w:qFormat/>
    <w:rPr>
      <w:rFonts w:hint="default" w:ascii="Times New Roman" w:hAnsi="Times New Roman" w:cs="Times New Roman"/>
      <w:color w:val="000000"/>
      <w:sz w:val="24"/>
      <w:szCs w:val="24"/>
      <w:u w:val="none"/>
    </w:rPr>
  </w:style>
  <w:style w:type="character" w:styleId="1054" w:customStyle="1">
    <w:name w:val="font61"/>
    <w:basedOn w:val="721"/>
    <w:qFormat/>
    <w:rPr>
      <w:rFonts w:hint="default" w:ascii="Times New Roman" w:hAnsi="Times New Roman" w:cs="Times New Roman"/>
      <w:color w:val="000000"/>
      <w:sz w:val="22"/>
      <w:szCs w:val="22"/>
      <w:u w:val="none"/>
    </w:rPr>
  </w:style>
  <w:style w:type="character" w:styleId="1055" w:customStyle="1">
    <w:name w:val="正文文本 字符"/>
    <w:basedOn w:val="721"/>
    <w:link w:val="728"/>
    <w:semiHidden/>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cp:lastModifiedBy>
  <cp:revision>13</cp:revision>
  <dcterms:created xsi:type="dcterms:W3CDTF">2025-11-10T14:18:00Z</dcterms:created>
  <dcterms:modified xsi:type="dcterms:W3CDTF">2025-11-26T08:13:28Z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A6432184C547482D854936F114146F52_13</vt:lpwstr>
  </property>
  <property fmtid="{D5CDD505-2E9C-101B-9397-08002B2CF9AE}" pid="4" name="KSOTemplateDocerSaveRecord">
    <vt:lpwstr>eyJoZGlkIjoiN2Y0Y2E1NDNhZDkyZGJjNDA0MjZiZjQ2NDczNDAwY2MiLCJ1c2VySWQiOiI2NDk5NDc1ODMifQ==</vt:lpwstr>
  </property>
</Properties>
</file>